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73" w:rsidRPr="000B6D18" w:rsidRDefault="005D4E73" w:rsidP="000B6D18">
      <w:pPr>
        <w:pStyle w:val="berschrift2"/>
      </w:pPr>
      <w:bookmarkStart w:id="0" w:name="_Toc268852376"/>
      <w:bookmarkStart w:id="1" w:name="_Toc268853334"/>
      <w:bookmarkStart w:id="2" w:name="_Toc268854516"/>
      <w:bookmarkStart w:id="3" w:name="_Toc273764930"/>
      <w:bookmarkStart w:id="4" w:name="_Toc380321123"/>
      <w:proofErr w:type="spellStart"/>
      <w:r w:rsidRPr="000B6D18">
        <w:t>Clonidin</w:t>
      </w:r>
      <w:bookmarkEnd w:id="0"/>
      <w:bookmarkEnd w:id="1"/>
      <w:bookmarkEnd w:id="2"/>
      <w:bookmarkEnd w:id="3"/>
      <w:bookmarkEnd w:id="4"/>
      <w:proofErr w:type="spellEnd"/>
    </w:p>
    <w:p w:rsidR="005D4E73" w:rsidRPr="000B6D18" w:rsidRDefault="005D4E73" w:rsidP="000B6D18">
      <w:r w:rsidRPr="000B6D18">
        <w:rPr>
          <w:i/>
        </w:rPr>
        <w:t xml:space="preserve">zentraler </w:t>
      </w:r>
      <w:r w:rsidRPr="000B6D18">
        <w:rPr>
          <w:i/>
        </w:rPr>
        <w:sym w:font="Symbol" w:char="F061"/>
      </w:r>
      <w:r w:rsidRPr="000B6D18">
        <w:rPr>
          <w:i/>
        </w:rPr>
        <w:t xml:space="preserve">-2 Agonist, reduziert </w:t>
      </w:r>
      <w:proofErr w:type="spellStart"/>
      <w:r w:rsidRPr="000B6D18">
        <w:rPr>
          <w:i/>
        </w:rPr>
        <w:t>adrenerge</w:t>
      </w:r>
      <w:proofErr w:type="spellEnd"/>
      <w:r w:rsidRPr="000B6D18">
        <w:rPr>
          <w:i/>
        </w:rPr>
        <w:t xml:space="preserve"> Aktivität bei vegetativer Entgleisung </w:t>
      </w:r>
      <w:r w:rsidR="00A05303">
        <w:rPr>
          <w:i/>
        </w:rPr>
        <w:br/>
      </w:r>
      <w:bookmarkStart w:id="5" w:name="_GoBack"/>
      <w:bookmarkEnd w:id="5"/>
      <w:r w:rsidRPr="000B6D18">
        <w:rPr>
          <w:i/>
        </w:rPr>
        <w:t>(RR hoch, Herzfrequenz hoch trotz ausreichender Sedierung )</w:t>
      </w:r>
      <w:r>
        <w:rPr>
          <w:i/>
        </w:rPr>
        <w:br/>
      </w:r>
      <w:r w:rsidRPr="000B6D18">
        <w:rPr>
          <w:i/>
        </w:rPr>
        <w:t>Plasma t ½: 12 h, überwiegend renale Ausscheidung</w:t>
      </w:r>
      <w:r>
        <w:rPr>
          <w:i/>
        </w:rPr>
        <w:br/>
      </w:r>
      <w:proofErr w:type="spellStart"/>
      <w:r w:rsidRPr="000B6D18">
        <w:rPr>
          <w:b/>
          <w:szCs w:val="28"/>
        </w:rPr>
        <w:t>Clonidin</w:t>
      </w:r>
      <w:proofErr w:type="spellEnd"/>
      <w:r w:rsidRPr="000B6D18">
        <w:rPr>
          <w:szCs w:val="28"/>
        </w:rPr>
        <w:t xml:space="preserve"> (z.B.: </w:t>
      </w:r>
      <w:proofErr w:type="spellStart"/>
      <w:r w:rsidRPr="000B6D18">
        <w:rPr>
          <w:szCs w:val="28"/>
        </w:rPr>
        <w:t>Catapresan</w:t>
      </w:r>
      <w:proofErr w:type="spellEnd"/>
      <w:r w:rsidRPr="000B6D18">
        <w:rPr>
          <w:szCs w:val="28"/>
          <w:vertAlign w:val="superscript"/>
        </w:rPr>
        <w:t>®</w:t>
      </w:r>
      <w:r w:rsidRPr="000B6D18">
        <w:rPr>
          <w:szCs w:val="28"/>
        </w:rPr>
        <w:t xml:space="preserve">) </w:t>
      </w:r>
      <w:r w:rsidRPr="000B6D18">
        <w:rPr>
          <w:b/>
          <w:szCs w:val="28"/>
        </w:rPr>
        <w:t>Tabletten</w:t>
      </w:r>
      <w:r w:rsidRPr="000B6D18">
        <w:rPr>
          <w:szCs w:val="28"/>
        </w:rPr>
        <w:t xml:space="preserve"> zu 0.15 mg</w:t>
      </w:r>
      <w:proofErr w:type="gramStart"/>
      <w:r w:rsidRPr="000B6D18">
        <w:rPr>
          <w:szCs w:val="28"/>
        </w:rPr>
        <w:t>,</w:t>
      </w:r>
      <w:proofErr w:type="gramEnd"/>
      <w:r>
        <w:rPr>
          <w:szCs w:val="28"/>
        </w:rPr>
        <w:br/>
      </w:r>
      <w:proofErr w:type="spellStart"/>
      <w:r w:rsidRPr="000B6D18">
        <w:rPr>
          <w:b/>
        </w:rPr>
        <w:t>Clonidin</w:t>
      </w:r>
      <w:proofErr w:type="spellEnd"/>
      <w:r w:rsidRPr="000B6D18">
        <w:rPr>
          <w:b/>
        </w:rPr>
        <w:t xml:space="preserve"> Ampullen</w:t>
      </w:r>
      <w:r w:rsidRPr="000B6D18">
        <w:t xml:space="preserve"> zu 0.15 mg</w:t>
      </w:r>
      <w:r w:rsidRPr="000B6D18">
        <w:rPr>
          <w:sz w:val="36"/>
        </w:rPr>
        <w:t xml:space="preserve"> </w:t>
      </w:r>
      <w:proofErr w:type="spellStart"/>
      <w:r w:rsidRPr="000B6D18">
        <w:t>Clonidinhydrochlorid</w:t>
      </w:r>
      <w:proofErr w:type="spellEnd"/>
    </w:p>
    <w:p w:rsidR="005D4E73" w:rsidRPr="000B6D18" w:rsidRDefault="005D4E73" w:rsidP="000B6D18">
      <w:r w:rsidRPr="000B6D18">
        <w:rPr>
          <w:b/>
          <w:color w:val="808080"/>
          <w:sz w:val="28"/>
        </w:rPr>
        <w:t>Dosisbereich oral</w:t>
      </w:r>
      <w:r>
        <w:rPr>
          <w:b/>
          <w:color w:val="808080"/>
          <w:sz w:val="28"/>
        </w:rPr>
        <w:br/>
      </w:r>
      <w:r w:rsidRPr="000B6D18">
        <w:t>je nach RR Ausgangssituation:</w:t>
      </w:r>
    </w:p>
    <w:p w:rsidR="005D4E73" w:rsidRPr="000B6D18" w:rsidRDefault="005D4E73" w:rsidP="000B6D18">
      <w:pPr>
        <w:rPr>
          <w:b/>
          <w:szCs w:val="20"/>
        </w:rPr>
      </w:pPr>
      <w:r w:rsidRPr="000B6D18">
        <w:rPr>
          <w:b/>
          <w:szCs w:val="20"/>
        </w:rPr>
        <w:sym w:font="Wingdings" w:char="F0BB"/>
      </w:r>
      <w:r w:rsidRPr="000B6D18">
        <w:rPr>
          <w:b/>
          <w:szCs w:val="20"/>
        </w:rPr>
        <w:t xml:space="preserve"> ¼ bis 1 </w:t>
      </w:r>
      <w:proofErr w:type="spellStart"/>
      <w:r w:rsidRPr="000B6D18">
        <w:rPr>
          <w:b/>
          <w:szCs w:val="20"/>
        </w:rPr>
        <w:t>Tbl</w:t>
      </w:r>
      <w:proofErr w:type="spellEnd"/>
      <w:r w:rsidRPr="000B6D18">
        <w:rPr>
          <w:b/>
          <w:szCs w:val="20"/>
        </w:rPr>
        <w:t xml:space="preserve"> zu 0.15 mg alle 6 h</w:t>
      </w:r>
    </w:p>
    <w:p w:rsidR="005D4E73" w:rsidRPr="000B6D18" w:rsidRDefault="005D4E73" w:rsidP="000B6D18">
      <w:pPr>
        <w:pStyle w:val="berschrift3"/>
      </w:pPr>
      <w:proofErr w:type="spellStart"/>
      <w:r w:rsidRPr="000B6D18">
        <w:t>Clonidin</w:t>
      </w:r>
      <w:proofErr w:type="spellEnd"/>
      <w:r w:rsidRPr="000B6D18">
        <w:t xml:space="preserve"> - </w:t>
      </w:r>
      <w:proofErr w:type="spellStart"/>
      <w:r w:rsidRPr="000B6D18">
        <w:t>Perfusor</w:t>
      </w:r>
      <w:proofErr w:type="spellEnd"/>
      <w:r w:rsidRPr="000B6D18">
        <w:t xml:space="preserve"> </w:t>
      </w:r>
    </w:p>
    <w:p w:rsidR="005D4E73" w:rsidRPr="000B6D18" w:rsidRDefault="005D4E73" w:rsidP="000B6D18">
      <w:pPr>
        <w:rPr>
          <w:color w:val="808080"/>
          <w:szCs w:val="24"/>
        </w:rPr>
      </w:pPr>
      <w:r w:rsidRPr="000B6D18">
        <w:rPr>
          <w:b/>
          <w:color w:val="808080"/>
          <w:szCs w:val="24"/>
        </w:rPr>
        <w:t>Mischungsverhältnis</w:t>
      </w:r>
      <w:r w:rsidRPr="000B6D18">
        <w:rPr>
          <w:color w:val="808080"/>
          <w:szCs w:val="24"/>
        </w:rPr>
        <w:t xml:space="preserve"> </w:t>
      </w:r>
      <w:r w:rsidRPr="000B6D18">
        <w:rPr>
          <w:szCs w:val="24"/>
        </w:rPr>
        <w:t xml:space="preserve">0,75 mg </w:t>
      </w:r>
      <w:proofErr w:type="gramStart"/>
      <w:r w:rsidRPr="000B6D18">
        <w:rPr>
          <w:szCs w:val="24"/>
        </w:rPr>
        <w:t>( =</w:t>
      </w:r>
      <w:proofErr w:type="gramEnd"/>
      <w:r w:rsidRPr="000B6D18">
        <w:rPr>
          <w:szCs w:val="24"/>
        </w:rPr>
        <w:t xml:space="preserve"> 5 </w:t>
      </w:r>
      <w:proofErr w:type="spellStart"/>
      <w:r w:rsidRPr="000B6D18">
        <w:rPr>
          <w:szCs w:val="24"/>
        </w:rPr>
        <w:t>Amp</w:t>
      </w:r>
      <w:proofErr w:type="spellEnd"/>
      <w:r w:rsidRPr="000B6D18">
        <w:rPr>
          <w:szCs w:val="24"/>
        </w:rPr>
        <w:t>) / 50 ml NaCl 0,9%</w:t>
      </w:r>
      <w:r>
        <w:rPr>
          <w:szCs w:val="24"/>
        </w:rPr>
        <w:br/>
      </w:r>
      <w:r w:rsidRPr="000B6D18">
        <w:rPr>
          <w:color w:val="808080"/>
          <w:szCs w:val="24"/>
        </w:rPr>
        <w:t>ausschließlich mit Kochsalz verdünnen, mit keiner anderen Lösung kompatibel!</w:t>
      </w:r>
    </w:p>
    <w:p w:rsidR="005D4E73" w:rsidRPr="00A67970" w:rsidRDefault="005D4E73" w:rsidP="00A67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A67970">
        <w:rPr>
          <w:b/>
          <w:szCs w:val="20"/>
        </w:rPr>
        <w:t xml:space="preserve">1 ml </w:t>
      </w:r>
      <w:proofErr w:type="spellStart"/>
      <w:r w:rsidRPr="00A67970">
        <w:rPr>
          <w:b/>
          <w:szCs w:val="20"/>
        </w:rPr>
        <w:t>Perfusorlösung</w:t>
      </w:r>
      <w:proofErr w:type="spellEnd"/>
      <w:r w:rsidRPr="00A67970">
        <w:rPr>
          <w:b/>
          <w:szCs w:val="20"/>
        </w:rPr>
        <w:t xml:space="preserve"> = 0,015 mg </w:t>
      </w:r>
      <w:proofErr w:type="spellStart"/>
      <w:r w:rsidRPr="00A67970">
        <w:rPr>
          <w:b/>
          <w:szCs w:val="20"/>
        </w:rPr>
        <w:t>Clonidin</w:t>
      </w:r>
      <w:proofErr w:type="spellEnd"/>
    </w:p>
    <w:p w:rsidR="005D4E73" w:rsidRDefault="005D4E73" w:rsidP="000B6D18">
      <w:pPr>
        <w:rPr>
          <w:b/>
          <w:color w:val="808080"/>
          <w:sz w:val="28"/>
        </w:rPr>
      </w:pPr>
    </w:p>
    <w:p w:rsidR="005D4E73" w:rsidRPr="00A67970" w:rsidRDefault="005D4E73" w:rsidP="000B6D18">
      <w:pPr>
        <w:rPr>
          <w:b/>
          <w:szCs w:val="20"/>
        </w:rPr>
      </w:pPr>
      <w:r w:rsidRPr="00A67970">
        <w:rPr>
          <w:b/>
          <w:color w:val="808080"/>
          <w:sz w:val="28"/>
        </w:rPr>
        <w:t>Dosisbereich parenteral</w:t>
      </w:r>
      <w:r>
        <w:rPr>
          <w:b/>
          <w:color w:val="808080"/>
          <w:sz w:val="28"/>
        </w:rPr>
        <w:br/>
      </w:r>
      <w:r w:rsidRPr="00A67970">
        <w:rPr>
          <w:b/>
          <w:szCs w:val="20"/>
        </w:rPr>
        <w:t>2 – 6 ml / h = 0,03 – 0,09 mg / h</w:t>
      </w:r>
    </w:p>
    <w:p w:rsidR="005D4E73" w:rsidRPr="000B6D18" w:rsidRDefault="005D4E73" w:rsidP="000B6D18">
      <w:pPr>
        <w:rPr>
          <w:i/>
        </w:rPr>
      </w:pPr>
      <w:r w:rsidRPr="000B6D18">
        <w:rPr>
          <w:i/>
          <w:sz w:val="28"/>
        </w:rPr>
        <w:t xml:space="preserve">Dosisüberschreitung </w:t>
      </w:r>
      <w:r>
        <w:rPr>
          <w:i/>
          <w:sz w:val="28"/>
        </w:rPr>
        <w:br/>
      </w:r>
      <w:r w:rsidRPr="000B6D18">
        <w:rPr>
          <w:i/>
        </w:rPr>
        <w:t>nur nach Rücksprache mit Arzt vom Dienst!</w:t>
      </w:r>
    </w:p>
    <w:p w:rsidR="005D4E73" w:rsidRPr="00A67970" w:rsidRDefault="005D4E73" w:rsidP="00A67970">
      <w:pPr>
        <w:ind w:left="1410" w:hanging="1410"/>
        <w:rPr>
          <w:b/>
          <w:color w:val="808080"/>
          <w:sz w:val="28"/>
          <w:szCs w:val="24"/>
        </w:rPr>
      </w:pPr>
      <w:r w:rsidRPr="000B6D18">
        <w:rPr>
          <w:color w:val="808080"/>
          <w:sz w:val="28"/>
          <w:szCs w:val="24"/>
        </w:rPr>
        <w:sym w:font="Wingdings" w:char="F049"/>
      </w:r>
      <w:r w:rsidRPr="000B6D18">
        <w:rPr>
          <w:color w:val="808080"/>
          <w:sz w:val="28"/>
          <w:szCs w:val="24"/>
        </w:rPr>
        <w:t xml:space="preserve"> </w:t>
      </w:r>
      <w:r w:rsidRPr="00A67970">
        <w:rPr>
          <w:b/>
          <w:color w:val="808080"/>
          <w:sz w:val="28"/>
          <w:szCs w:val="24"/>
        </w:rPr>
        <w:t>CAVE</w:t>
      </w:r>
      <w:r w:rsidRPr="00A67970">
        <w:rPr>
          <w:b/>
          <w:color w:val="808080"/>
          <w:sz w:val="28"/>
          <w:szCs w:val="24"/>
        </w:rPr>
        <w:tab/>
        <w:t>Gefahr von Rebound-Phänomen</w:t>
      </w:r>
      <w:r>
        <w:rPr>
          <w:b/>
          <w:color w:val="808080"/>
          <w:sz w:val="28"/>
          <w:szCs w:val="24"/>
        </w:rPr>
        <w:br/>
      </w:r>
      <w:r w:rsidRPr="00A67970">
        <w:rPr>
          <w:b/>
          <w:color w:val="808080"/>
          <w:sz w:val="28"/>
          <w:szCs w:val="24"/>
        </w:rPr>
        <w:t>langsam über 2-4 Tage ausschleichen</w:t>
      </w:r>
    </w:p>
    <w:p w:rsidR="005D4E73" w:rsidRPr="000B6D18" w:rsidRDefault="005D4E73" w:rsidP="000B6D18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:rsidR="005D4E73" w:rsidRPr="000B6D18" w:rsidRDefault="005D4E73" w:rsidP="000B6D18">
      <w:pPr>
        <w:rPr>
          <w:color w:val="333333"/>
          <w:sz w:val="36"/>
        </w:rPr>
      </w:pPr>
      <w:r w:rsidRPr="000B6D18">
        <w:rPr>
          <w:color w:val="999999"/>
          <w:sz w:val="40"/>
        </w:rPr>
        <w:lastRenderedPageBreak/>
        <w:sym w:font="Wingdings" w:char="F03A"/>
      </w:r>
      <w:r w:rsidRPr="000B6D18">
        <w:rPr>
          <w:color w:val="999999"/>
          <w:sz w:val="40"/>
        </w:rPr>
        <w:tab/>
      </w:r>
      <w:r w:rsidRPr="000B6D18">
        <w:rPr>
          <w:color w:val="333333"/>
          <w:sz w:val="28"/>
        </w:rPr>
        <w:t xml:space="preserve">Monitor RR 30 bis 60 min Intervall  </w:t>
      </w:r>
    </w:p>
    <w:p w:rsidR="005D4E73" w:rsidRDefault="005D4E73" w:rsidP="00A67970">
      <w:pPr>
        <w:spacing w:after="0" w:line="240" w:lineRule="auto"/>
        <w:rPr>
          <w:color w:val="333333"/>
          <w:sz w:val="28"/>
        </w:rPr>
      </w:pPr>
      <w:r w:rsidRPr="000B6D18">
        <w:rPr>
          <w:color w:val="999999"/>
          <w:sz w:val="40"/>
        </w:rPr>
        <w:sym w:font="Wingdings" w:char="F04D"/>
      </w:r>
      <w:r w:rsidRPr="000B6D18">
        <w:rPr>
          <w:color w:val="999999"/>
          <w:sz w:val="40"/>
        </w:rPr>
        <w:tab/>
      </w:r>
      <w:r w:rsidRPr="000B6D18">
        <w:rPr>
          <w:color w:val="333333"/>
          <w:sz w:val="28"/>
        </w:rPr>
        <w:t>Kontraindikationen</w:t>
      </w:r>
    </w:p>
    <w:p w:rsidR="005D4E73" w:rsidRDefault="005D4E73" w:rsidP="00A67970">
      <w:pPr>
        <w:spacing w:after="0" w:line="240" w:lineRule="auto"/>
        <w:ind w:left="708"/>
      </w:pPr>
      <w:proofErr w:type="spellStart"/>
      <w:r w:rsidRPr="000B6D18">
        <w:rPr>
          <w:szCs w:val="24"/>
        </w:rPr>
        <w:t>Haloperidol</w:t>
      </w:r>
      <w:proofErr w:type="spellEnd"/>
      <w:r w:rsidRPr="000B6D18">
        <w:rPr>
          <w:szCs w:val="24"/>
        </w:rPr>
        <w:t>: QT-Verlängerung und Kammerflimmern!</w:t>
      </w:r>
      <w:r>
        <w:rPr>
          <w:szCs w:val="24"/>
        </w:rPr>
        <w:br/>
      </w:r>
      <w:r w:rsidRPr="000B6D18">
        <w:t>kardial: Sick-Sinus Syndrom, AV-Block II &amp; III, frischer MCI</w:t>
      </w:r>
      <w:r>
        <w:br/>
      </w:r>
      <w:proofErr w:type="spellStart"/>
      <w:r w:rsidRPr="000B6D18">
        <w:t>Vasculär</w:t>
      </w:r>
      <w:proofErr w:type="spellEnd"/>
      <w:r w:rsidRPr="000B6D18">
        <w:t>: periphere DB-Störungen</w:t>
      </w:r>
      <w:r>
        <w:br/>
      </w:r>
      <w:r w:rsidRPr="000B6D18">
        <w:t>Renal: Niereninsuffizienz</w:t>
      </w:r>
    </w:p>
    <w:p w:rsidR="005D4E73" w:rsidRPr="000B6D18" w:rsidRDefault="005D4E73" w:rsidP="00A67970">
      <w:pPr>
        <w:spacing w:after="0" w:line="240" w:lineRule="auto"/>
        <w:ind w:left="708"/>
      </w:pPr>
    </w:p>
    <w:p w:rsidR="005D4E73" w:rsidRPr="000B6D18" w:rsidRDefault="005D4E73" w:rsidP="00A67970">
      <w:pPr>
        <w:spacing w:after="0" w:line="240" w:lineRule="auto"/>
        <w:rPr>
          <w:color w:val="333333"/>
          <w:sz w:val="28"/>
        </w:rPr>
      </w:pPr>
      <w:r w:rsidRPr="000B6D18">
        <w:rPr>
          <w:color w:val="999999"/>
          <w:sz w:val="40"/>
        </w:rPr>
        <w:sym w:font="Wingdings" w:char="F046"/>
      </w:r>
      <w:r w:rsidRPr="000B6D18">
        <w:rPr>
          <w:color w:val="999999"/>
          <w:sz w:val="40"/>
        </w:rPr>
        <w:tab/>
      </w:r>
      <w:r w:rsidRPr="000B6D18">
        <w:rPr>
          <w:color w:val="333333"/>
          <w:sz w:val="28"/>
        </w:rPr>
        <w:t xml:space="preserve">Therapie sofort beenden bei:  </w:t>
      </w:r>
    </w:p>
    <w:p w:rsidR="005D4E73" w:rsidRPr="000B6D18" w:rsidRDefault="005D4E73" w:rsidP="00A67970">
      <w:pPr>
        <w:ind w:left="708"/>
      </w:pPr>
      <w:r w:rsidRPr="000B6D18">
        <w:t xml:space="preserve">RR </w:t>
      </w:r>
      <w:proofErr w:type="spellStart"/>
      <w:r w:rsidRPr="000B6D18">
        <w:t>sys</w:t>
      </w:r>
      <w:proofErr w:type="spellEnd"/>
      <w:r w:rsidRPr="000B6D18">
        <w:t xml:space="preserve"> &lt; 100 </w:t>
      </w:r>
      <w:proofErr w:type="spellStart"/>
      <w:r w:rsidRPr="000B6D18">
        <w:t>mmHg</w:t>
      </w:r>
      <w:proofErr w:type="spellEnd"/>
      <w:r>
        <w:br/>
      </w:r>
      <w:proofErr w:type="spellStart"/>
      <w:r w:rsidRPr="000B6D18">
        <w:t>Bradycardie</w:t>
      </w:r>
      <w:proofErr w:type="spellEnd"/>
      <w:r w:rsidRPr="000B6D18">
        <w:t xml:space="preserve"> &lt; 40 /min</w:t>
      </w:r>
    </w:p>
    <w:p w:rsidR="005D4E73" w:rsidRPr="000B6D18" w:rsidRDefault="005D4E73" w:rsidP="00A67970">
      <w:pPr>
        <w:spacing w:after="0" w:line="240" w:lineRule="auto"/>
        <w:rPr>
          <w:color w:val="333333"/>
          <w:sz w:val="28"/>
        </w:rPr>
      </w:pPr>
      <w:r w:rsidRPr="000B6D18">
        <w:rPr>
          <w:color w:val="999999"/>
          <w:sz w:val="40"/>
        </w:rPr>
        <w:sym w:font="Wingdings" w:char="F04E"/>
      </w:r>
      <w:r w:rsidRPr="000B6D18">
        <w:rPr>
          <w:color w:val="999999"/>
          <w:sz w:val="40"/>
        </w:rPr>
        <w:tab/>
      </w:r>
      <w:r w:rsidRPr="000B6D18">
        <w:rPr>
          <w:color w:val="333333"/>
          <w:sz w:val="28"/>
        </w:rPr>
        <w:t>Überdosierung / Intoxikation</w:t>
      </w:r>
    </w:p>
    <w:p w:rsidR="005D4E73" w:rsidRPr="000B6D18" w:rsidRDefault="005D4E73" w:rsidP="00A67970">
      <w:pPr>
        <w:ind w:left="708"/>
      </w:pPr>
      <w:r w:rsidRPr="000B6D18">
        <w:t xml:space="preserve">Somnolenz, Hypotonie, </w:t>
      </w:r>
      <w:proofErr w:type="spellStart"/>
      <w:r w:rsidRPr="000B6D18">
        <w:t>Bradycardie</w:t>
      </w:r>
      <w:proofErr w:type="spellEnd"/>
      <w:r w:rsidRPr="000B6D18">
        <w:t xml:space="preserve">, </w:t>
      </w:r>
      <w:proofErr w:type="spellStart"/>
      <w:r w:rsidRPr="000B6D18">
        <w:t>Miosis</w:t>
      </w:r>
      <w:proofErr w:type="spellEnd"/>
      <w:r w:rsidRPr="000B6D18">
        <w:t>, Atemdepression</w:t>
      </w:r>
    </w:p>
    <w:p w:rsidR="005D4E73" w:rsidRPr="000B6D18" w:rsidRDefault="005D4E73" w:rsidP="00A67970">
      <w:pPr>
        <w:spacing w:after="0" w:line="240" w:lineRule="auto"/>
        <w:rPr>
          <w:color w:val="333333"/>
          <w:sz w:val="32"/>
        </w:rPr>
      </w:pPr>
      <w:r w:rsidRPr="000B6D18">
        <w:rPr>
          <w:color w:val="999999"/>
          <w:sz w:val="40"/>
        </w:rPr>
        <w:sym w:font="Wingdings" w:char="F046"/>
      </w:r>
      <w:r w:rsidRPr="000B6D18">
        <w:rPr>
          <w:color w:val="999999"/>
          <w:sz w:val="40"/>
        </w:rPr>
        <w:tab/>
      </w:r>
      <w:r w:rsidRPr="000B6D18">
        <w:rPr>
          <w:color w:val="333333"/>
          <w:sz w:val="28"/>
        </w:rPr>
        <w:t>Antidot</w:t>
      </w:r>
    </w:p>
    <w:p w:rsidR="005D4E73" w:rsidRDefault="005D4E73" w:rsidP="00A67970">
      <w:pPr>
        <w:ind w:left="708"/>
        <w:sectPr w:rsidR="005D4E73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  <w:r w:rsidRPr="000B6D18">
        <w:t xml:space="preserve">bei </w:t>
      </w:r>
      <w:proofErr w:type="spellStart"/>
      <w:r w:rsidRPr="000B6D18">
        <w:t>Bradycardie</w:t>
      </w:r>
      <w:proofErr w:type="spellEnd"/>
      <w:r w:rsidRPr="000B6D18">
        <w:t xml:space="preserve">: Atropin </w:t>
      </w:r>
      <w:proofErr w:type="spellStart"/>
      <w:r w:rsidRPr="000B6D18">
        <w:t>i.v.</w:t>
      </w:r>
      <w:proofErr w:type="spellEnd"/>
      <w:r w:rsidRPr="000B6D18">
        <w:t xml:space="preserve"> , </w:t>
      </w:r>
      <w:r>
        <w:br/>
      </w:r>
      <w:r w:rsidRPr="000B6D18">
        <w:t>bei Hypotonie: Dopamin als Infusion</w:t>
      </w:r>
      <w:r>
        <w:br/>
      </w:r>
      <w:r w:rsidRPr="000B6D18">
        <w:t xml:space="preserve">bei Hypertension: </w:t>
      </w:r>
      <w:proofErr w:type="spellStart"/>
      <w:r w:rsidRPr="000B6D18">
        <w:t>Furosemid</w:t>
      </w:r>
      <w:proofErr w:type="spellEnd"/>
      <w:r w:rsidRPr="000B6D18">
        <w:t xml:space="preserve">, </w:t>
      </w:r>
      <w:proofErr w:type="spellStart"/>
      <w:r w:rsidRPr="000B6D18">
        <w:t>Diazoxid</w:t>
      </w:r>
      <w:proofErr w:type="spellEnd"/>
      <w:r w:rsidRPr="000B6D18">
        <w:t xml:space="preserve">, </w:t>
      </w:r>
      <w:proofErr w:type="spellStart"/>
      <w:r w:rsidRPr="000B6D18">
        <w:t>Phentolamin</w:t>
      </w:r>
      <w:proofErr w:type="spellEnd"/>
      <w:r w:rsidRPr="000B6D18">
        <w:t xml:space="preserve"> oder </w:t>
      </w:r>
      <w:proofErr w:type="spellStart"/>
      <w:r w:rsidRPr="000B6D18">
        <w:t>Nitroprussid</w:t>
      </w:r>
      <w:proofErr w:type="spellEnd"/>
      <w:r w:rsidRPr="000B6D18">
        <w:t xml:space="preserve">, falls erforderlich </w:t>
      </w:r>
      <w:proofErr w:type="spellStart"/>
      <w:r w:rsidRPr="000B6D18">
        <w:t>Tolazolin</w:t>
      </w:r>
      <w:proofErr w:type="spellEnd"/>
      <w:r w:rsidRPr="000B6D18">
        <w:t xml:space="preserve"> als Infusion</w:t>
      </w:r>
    </w:p>
    <w:p w:rsidR="000B6D18" w:rsidRPr="000B6D18" w:rsidRDefault="000B6D18" w:rsidP="00A67970">
      <w:pPr>
        <w:ind w:left="708"/>
      </w:pPr>
    </w:p>
    <w:sectPr w:rsidR="000B6D18" w:rsidRPr="000B6D18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F2FE4D1-F21D-45E1-9D3E-BBFB4D023D0F}"/>
    <w:docVar w:name="dgnword-eventsink" w:val="116814696"/>
  </w:docVars>
  <w:rsids>
    <w:rsidRoot w:val="005A48B9"/>
    <w:rsid w:val="000B6D18"/>
    <w:rsid w:val="003947E7"/>
    <w:rsid w:val="003E47B8"/>
    <w:rsid w:val="004D7B3B"/>
    <w:rsid w:val="005A48B9"/>
    <w:rsid w:val="005D4E73"/>
    <w:rsid w:val="0077186B"/>
    <w:rsid w:val="008636A9"/>
    <w:rsid w:val="008B140E"/>
    <w:rsid w:val="009D4F5E"/>
    <w:rsid w:val="00A05303"/>
    <w:rsid w:val="00A67970"/>
    <w:rsid w:val="00E10917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6B22085.dotm</Template>
  <TotalTime>0</TotalTime>
  <Pages>3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3</cp:revision>
  <dcterms:created xsi:type="dcterms:W3CDTF">2014-03-18T09:16:00Z</dcterms:created>
  <dcterms:modified xsi:type="dcterms:W3CDTF">2018-01-24T15:34:00Z</dcterms:modified>
</cp:coreProperties>
</file>