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02" w:rsidRPr="007B27E7" w:rsidRDefault="00411902" w:rsidP="007B27E7">
      <w:pPr>
        <w:pStyle w:val="berschrift1"/>
      </w:pPr>
      <w:bookmarkStart w:id="0" w:name="_Toc273764927"/>
      <w:bookmarkStart w:id="1" w:name="_Toc380321132"/>
      <w:bookmarkStart w:id="2" w:name="_Toc384725349"/>
      <w:r w:rsidRPr="007B27E7">
        <w:t>akuter Opiatentzug</w:t>
      </w:r>
      <w:bookmarkEnd w:id="0"/>
      <w:bookmarkEnd w:id="1"/>
      <w:bookmarkEnd w:id="2"/>
    </w:p>
    <w:p w:rsidR="00411902" w:rsidRPr="007B27E7" w:rsidRDefault="00411902" w:rsidP="007B27E7">
      <w:pPr>
        <w:pStyle w:val="berschrift2"/>
      </w:pPr>
      <w:r w:rsidRPr="007B27E7">
        <w:t>medikamentöse Behandlung</w:t>
      </w:r>
    </w:p>
    <w:p w:rsidR="00411902" w:rsidRPr="007B27E7" w:rsidRDefault="00411902" w:rsidP="007B27E7">
      <w:pPr>
        <w:pStyle w:val="berschrift3"/>
        <w:rPr>
          <w:rFonts w:eastAsiaTheme="minorEastAsia"/>
        </w:rPr>
      </w:pPr>
      <w:bookmarkStart w:id="3" w:name="_Toc268852370"/>
      <w:bookmarkStart w:id="4" w:name="_Toc268853328"/>
      <w:bookmarkStart w:id="5" w:name="_Toc268854510"/>
      <w:bookmarkStart w:id="6" w:name="_Toc273764928"/>
      <w:bookmarkStart w:id="7" w:name="_Toc380321133"/>
      <w:r w:rsidRPr="007B27E7">
        <w:rPr>
          <w:rFonts w:eastAsiaTheme="minorEastAsia"/>
        </w:rPr>
        <w:t>nicht - substituierte medikamentöse Entzugsbehandlung</w:t>
      </w:r>
      <w:bookmarkEnd w:id="3"/>
      <w:bookmarkEnd w:id="4"/>
      <w:bookmarkEnd w:id="5"/>
      <w:bookmarkEnd w:id="6"/>
      <w:bookmarkEnd w:id="7"/>
    </w:p>
    <w:p w:rsidR="00411902" w:rsidRPr="007B27E7" w:rsidRDefault="00411902" w:rsidP="007B27E7">
      <w:r w:rsidRPr="00B71A1F">
        <w:rPr>
          <w:lang w:val="en-US"/>
        </w:rPr>
        <w:t xml:space="preserve">1) </w:t>
      </w:r>
      <w:proofErr w:type="spellStart"/>
      <w:r w:rsidRPr="00B71A1F">
        <w:rPr>
          <w:b/>
          <w:lang w:val="en-US"/>
        </w:rPr>
        <w:t>Adrenolytika</w:t>
      </w:r>
      <w:proofErr w:type="spellEnd"/>
      <w:r w:rsidRPr="00B71A1F">
        <w:rPr>
          <w:lang w:val="en-US"/>
        </w:rPr>
        <w:br/>
      </w:r>
      <w:proofErr w:type="spellStart"/>
      <w:r w:rsidRPr="00B71A1F">
        <w:rPr>
          <w:lang w:val="en-US"/>
        </w:rPr>
        <w:t>Clonidin</w:t>
      </w:r>
      <w:proofErr w:type="spellEnd"/>
      <w:r w:rsidRPr="00B71A1F">
        <w:rPr>
          <w:lang w:val="en-US"/>
        </w:rPr>
        <w:t xml:space="preserve"> </w:t>
      </w:r>
      <w:r w:rsidRPr="00B71A1F">
        <w:rPr>
          <w:color w:val="808080" w:themeColor="background1" w:themeShade="80"/>
          <w:lang w:val="en-US"/>
        </w:rPr>
        <w:t>(</w:t>
      </w:r>
      <w:proofErr w:type="spellStart"/>
      <w:r w:rsidRPr="00B71A1F">
        <w:rPr>
          <w:color w:val="808080" w:themeColor="background1" w:themeShade="80"/>
          <w:lang w:val="en-US"/>
        </w:rPr>
        <w:t>a2</w:t>
      </w:r>
      <w:proofErr w:type="spellEnd"/>
      <w:r w:rsidRPr="00B71A1F">
        <w:rPr>
          <w:color w:val="808080" w:themeColor="background1" w:themeShade="80"/>
          <w:lang w:val="en-US"/>
        </w:rPr>
        <w:t xml:space="preserve"> Agonist am </w:t>
      </w:r>
      <w:proofErr w:type="spellStart"/>
      <w:r w:rsidRPr="00B71A1F">
        <w:rPr>
          <w:color w:val="808080" w:themeColor="background1" w:themeShade="80"/>
          <w:lang w:val="en-US"/>
        </w:rPr>
        <w:t>Autorezeptor</w:t>
      </w:r>
      <w:proofErr w:type="spellEnd"/>
      <w:r w:rsidRPr="00B71A1F">
        <w:rPr>
          <w:color w:val="808080" w:themeColor="background1" w:themeShade="80"/>
          <w:lang w:val="en-US"/>
        </w:rPr>
        <w:t>)</w:t>
      </w:r>
      <w:r w:rsidR="00B71A1F" w:rsidRPr="00B71A1F">
        <w:rPr>
          <w:color w:val="808080" w:themeColor="background1" w:themeShade="80"/>
          <w:lang w:val="en-US"/>
        </w:rPr>
        <w:t xml:space="preserve"> </w:t>
      </w:r>
      <w:proofErr w:type="spellStart"/>
      <w:r w:rsidR="00B71A1F" w:rsidRPr="00B71A1F">
        <w:rPr>
          <w:lang w:val="en-US"/>
        </w:rPr>
        <w:t>Catapresan</w:t>
      </w:r>
      <w:proofErr w:type="spellEnd"/>
      <w:r w:rsidR="00B71A1F" w:rsidRPr="00B71A1F">
        <w:rPr>
          <w:lang w:val="en-US" w:eastAsia="en-US"/>
        </w:rPr>
        <w:t>®</w:t>
      </w:r>
      <w:r w:rsidRPr="00B71A1F">
        <w:rPr>
          <w:lang w:val="en-US"/>
        </w:rPr>
        <w:br/>
      </w:r>
      <w:r w:rsidRPr="00B71A1F">
        <w:rPr>
          <w:color w:val="808080" w:themeColor="background1" w:themeShade="80"/>
          <w:lang w:val="en-US"/>
        </w:rPr>
        <w:t xml:space="preserve">max. </w:t>
      </w:r>
      <w:r w:rsidRPr="007B27E7">
        <w:rPr>
          <w:color w:val="808080" w:themeColor="background1" w:themeShade="80"/>
        </w:rPr>
        <w:t xml:space="preserve">Tagesdosis 0,6 mg, </w:t>
      </w:r>
      <w:proofErr w:type="spellStart"/>
      <w:r w:rsidRPr="007B27E7">
        <w:rPr>
          <w:color w:val="808080" w:themeColor="background1" w:themeShade="80"/>
        </w:rPr>
        <w:t>t½</w:t>
      </w:r>
      <w:proofErr w:type="spellEnd"/>
      <w:r w:rsidRPr="007B27E7">
        <w:rPr>
          <w:color w:val="808080" w:themeColor="background1" w:themeShade="80"/>
        </w:rPr>
        <w:t xml:space="preserve"> 10 – 20 h, bis 0,3 mg dosis-lineare Kinetik</w:t>
      </w:r>
      <w:r w:rsidRPr="007B27E7">
        <w:rPr>
          <w:color w:val="808080" w:themeColor="background1" w:themeShade="80"/>
        </w:rPr>
        <w:br/>
      </w:r>
      <w:r w:rsidRPr="007B27E7">
        <w:rPr>
          <w:b/>
        </w:rPr>
        <w:t xml:space="preserve">Dosierung 0,075 – 0,6 mg / Tag in Einzeldosen zu 0,075 mg </w:t>
      </w:r>
      <w:r w:rsidRPr="007B27E7">
        <w:rPr>
          <w:b/>
        </w:rPr>
        <w:br/>
      </w:r>
      <w:r w:rsidRPr="007B27E7">
        <w:t xml:space="preserve">häufig </w:t>
      </w:r>
      <w:proofErr w:type="spellStart"/>
      <w:r w:rsidRPr="007B27E7">
        <w:t>orthostatische</w:t>
      </w:r>
      <w:proofErr w:type="spellEnd"/>
      <w:r w:rsidRPr="007B27E7">
        <w:t xml:space="preserve"> Beschwerden (RR Abfall, Sturz)</w:t>
      </w:r>
      <w:r>
        <w:br/>
      </w:r>
      <w:r w:rsidRPr="007B27E7">
        <w:t xml:space="preserve">CAVE Kombination mit </w:t>
      </w:r>
      <w:proofErr w:type="spellStart"/>
      <w:r w:rsidRPr="007B27E7">
        <w:t>Haloperidol</w:t>
      </w:r>
      <w:proofErr w:type="spellEnd"/>
      <w:r w:rsidRPr="007B27E7">
        <w:t xml:space="preserve"> </w:t>
      </w:r>
      <w:r w:rsidRPr="007B27E7">
        <w:sym w:font="Wingdings" w:char="F0E8"/>
      </w:r>
      <w:r w:rsidRPr="007B27E7">
        <w:t xml:space="preserve"> </w:t>
      </w:r>
      <w:proofErr w:type="spellStart"/>
      <w:r w:rsidRPr="007B27E7">
        <w:t>QTc</w:t>
      </w:r>
      <w:proofErr w:type="spellEnd"/>
      <w:r w:rsidRPr="007B27E7">
        <w:t xml:space="preserve"> Verlängerung! </w:t>
      </w:r>
    </w:p>
    <w:p w:rsidR="00411902" w:rsidRPr="007B27E7" w:rsidRDefault="00411902" w:rsidP="007B27E7">
      <w:pPr>
        <w:rPr>
          <w:i/>
        </w:rPr>
      </w:pPr>
      <w:r w:rsidRPr="007B27E7">
        <w:t xml:space="preserve">2) </w:t>
      </w:r>
      <w:r w:rsidRPr="007B27E7">
        <w:rPr>
          <w:b/>
        </w:rPr>
        <w:t>niedrigpotente Antipsychotika</w:t>
      </w:r>
      <w:r w:rsidRPr="007B27E7">
        <w:t xml:space="preserve"> </w:t>
      </w:r>
      <w:r w:rsidRPr="007B27E7">
        <w:rPr>
          <w:b/>
          <w:color w:val="808080" w:themeColor="background1" w:themeShade="80"/>
        </w:rPr>
        <w:t>(FGAP)</w:t>
      </w:r>
      <w:r w:rsidRPr="007B27E7">
        <w:rPr>
          <w:color w:val="808080" w:themeColor="background1" w:themeShade="80"/>
        </w:rPr>
        <w:t xml:space="preserve"> </w:t>
      </w:r>
      <w:r>
        <w:br/>
      </w:r>
      <w:proofErr w:type="spellStart"/>
      <w:r w:rsidRPr="007B27E7">
        <w:rPr>
          <w:b/>
        </w:rPr>
        <w:t>Prothipendyl</w:t>
      </w:r>
      <w:proofErr w:type="spellEnd"/>
      <w:r w:rsidRPr="007B27E7">
        <w:t xml:space="preserve"> (</w:t>
      </w:r>
      <w:proofErr w:type="spellStart"/>
      <w:r w:rsidRPr="007B27E7">
        <w:t>Dominal</w:t>
      </w:r>
      <w:proofErr w:type="spellEnd"/>
      <w:r w:rsidR="00B71A1F">
        <w:rPr>
          <w:lang w:eastAsia="en-US"/>
        </w:rPr>
        <w:t>®</w:t>
      </w:r>
      <w:bookmarkStart w:id="8" w:name="_GoBack"/>
      <w:bookmarkEnd w:id="8"/>
      <w:r w:rsidRPr="007B27E7">
        <w:t xml:space="preserve">) </w:t>
      </w:r>
      <w:r w:rsidRPr="007B27E7">
        <w:rPr>
          <w:color w:val="808080" w:themeColor="background1" w:themeShade="80"/>
        </w:rPr>
        <w:t xml:space="preserve">sehr sicher (Tagesmaximaldosis 1000mg) </w:t>
      </w:r>
      <w:r>
        <w:br/>
      </w:r>
      <w:r w:rsidRPr="007B27E7">
        <w:rPr>
          <w:b/>
        </w:rPr>
        <w:t xml:space="preserve">Dosierung 120 – 240 mg / Tag über </w:t>
      </w:r>
      <w:proofErr w:type="spellStart"/>
      <w:r w:rsidRPr="007B27E7">
        <w:rPr>
          <w:b/>
        </w:rPr>
        <w:t>mehrer</w:t>
      </w:r>
      <w:proofErr w:type="spellEnd"/>
      <w:r w:rsidRPr="007B27E7">
        <w:rPr>
          <w:b/>
        </w:rPr>
        <w:t xml:space="preserve"> Einzeldosen zu je 40 oder 80 mg </w:t>
      </w:r>
      <w:r w:rsidRPr="007B27E7">
        <w:rPr>
          <w:b/>
        </w:rPr>
        <w:br/>
      </w:r>
      <w:r w:rsidRPr="007B27E7">
        <w:rPr>
          <w:i/>
        </w:rPr>
        <w:t xml:space="preserve">häufig </w:t>
      </w:r>
      <w:proofErr w:type="spellStart"/>
      <w:r w:rsidRPr="007B27E7">
        <w:rPr>
          <w:i/>
        </w:rPr>
        <w:t>orthostatische</w:t>
      </w:r>
      <w:proofErr w:type="spellEnd"/>
      <w:r w:rsidRPr="007B27E7">
        <w:rPr>
          <w:i/>
        </w:rPr>
        <w:t xml:space="preserve"> Beschwerden (RR Abfall, Sturz), geringes EPMS-Risiko</w:t>
      </w:r>
    </w:p>
    <w:p w:rsidR="00411902" w:rsidRPr="007B27E7" w:rsidRDefault="00411902" w:rsidP="007B27E7">
      <w:proofErr w:type="spellStart"/>
      <w:r w:rsidRPr="007B27E7">
        <w:rPr>
          <w:b/>
        </w:rPr>
        <w:t>Levomepromazin</w:t>
      </w:r>
      <w:proofErr w:type="spellEnd"/>
      <w:r w:rsidRPr="007B27E7">
        <w:t xml:space="preserve"> (</w:t>
      </w:r>
      <w:proofErr w:type="spellStart"/>
      <w:r w:rsidRPr="007B27E7">
        <w:t>Nozinan</w:t>
      </w:r>
      <w:proofErr w:type="spellEnd"/>
      <w:r w:rsidRPr="007B27E7">
        <w:t xml:space="preserve">®) </w:t>
      </w:r>
      <w:r w:rsidRPr="007B27E7">
        <w:rPr>
          <w:color w:val="808080" w:themeColor="background1" w:themeShade="80"/>
        </w:rPr>
        <w:t>sedierend, analgetisch, antiemetisch</w:t>
      </w:r>
      <w:r>
        <w:rPr>
          <w:color w:val="808080" w:themeColor="background1" w:themeShade="80"/>
        </w:rPr>
        <w:br/>
      </w:r>
      <w:r w:rsidRPr="007B27E7">
        <w:rPr>
          <w:color w:val="808080" w:themeColor="background1" w:themeShade="80"/>
        </w:rPr>
        <w:t xml:space="preserve">max. Plasmaspiegel nach 3 h, t½ 28 h, max. Tagesdosis 300 mg (bis 600 mg nach mehrtägiger Titration) </w:t>
      </w:r>
      <w:r>
        <w:rPr>
          <w:color w:val="808080" w:themeColor="background1" w:themeShade="80"/>
        </w:rPr>
        <w:br/>
      </w:r>
      <w:r w:rsidRPr="007B27E7">
        <w:rPr>
          <w:b/>
        </w:rPr>
        <w:t xml:space="preserve">Dosierung: 25 – 100 mg / Tag 1 in Einzeldosen 12,5 – 25 mg </w:t>
      </w:r>
      <w:r>
        <w:rPr>
          <w:b/>
        </w:rPr>
        <w:br/>
      </w:r>
      <w:r w:rsidRPr="007B27E7">
        <w:t>Erhöhung um 100 mg / Tag bis max. 12 x 25 mg am Tag 3</w:t>
      </w:r>
      <w:r>
        <w:br/>
      </w:r>
      <w:r w:rsidRPr="007B27E7">
        <w:rPr>
          <w:i/>
        </w:rPr>
        <w:t xml:space="preserve">häufig </w:t>
      </w:r>
      <w:proofErr w:type="spellStart"/>
      <w:r w:rsidRPr="007B27E7">
        <w:rPr>
          <w:i/>
        </w:rPr>
        <w:t>orthostatische</w:t>
      </w:r>
      <w:proofErr w:type="spellEnd"/>
      <w:r w:rsidRPr="007B27E7">
        <w:rPr>
          <w:i/>
        </w:rPr>
        <w:t xml:space="preserve"> Beschwerden (RR Abfall, Sturz), geringes EPMS-Risiko</w:t>
      </w:r>
      <w:r w:rsidRPr="007B27E7">
        <w:rPr>
          <w:i/>
        </w:rPr>
        <w:br/>
      </w:r>
      <w:proofErr w:type="spellStart"/>
      <w:r w:rsidRPr="007B27E7">
        <w:rPr>
          <w:i/>
        </w:rPr>
        <w:t>anticholingere</w:t>
      </w:r>
      <w:proofErr w:type="spellEnd"/>
      <w:r w:rsidRPr="007B27E7">
        <w:rPr>
          <w:i/>
        </w:rPr>
        <w:t xml:space="preserve"> UAW, EKG Kontrollen</w:t>
      </w:r>
    </w:p>
    <w:p w:rsidR="00411902" w:rsidRPr="007B27E7" w:rsidRDefault="00411902" w:rsidP="007B27E7">
      <w:r w:rsidRPr="007B27E7">
        <w:t xml:space="preserve">3) </w:t>
      </w:r>
      <w:r w:rsidRPr="007B27E7">
        <w:rPr>
          <w:b/>
        </w:rPr>
        <w:t>Sedativa</w:t>
      </w:r>
      <w:r>
        <w:rPr>
          <w:b/>
        </w:rPr>
        <w:br/>
      </w:r>
      <w:r w:rsidRPr="007B27E7">
        <w:rPr>
          <w:color w:val="808080" w:themeColor="background1" w:themeShade="80"/>
        </w:rPr>
        <w:t xml:space="preserve">Benzodiazepine mittlerer t½,  </w:t>
      </w:r>
      <w:r w:rsidRPr="007B27E7">
        <w:rPr>
          <w:color w:val="808080" w:themeColor="background1" w:themeShade="80"/>
        </w:rPr>
        <w:br/>
      </w:r>
      <w:r w:rsidRPr="007B27E7">
        <w:rPr>
          <w:b/>
        </w:rPr>
        <w:t>Lorazepam</w:t>
      </w:r>
      <w:r w:rsidRPr="007B27E7">
        <w:t xml:space="preserve"> (</w:t>
      </w:r>
      <w:proofErr w:type="spellStart"/>
      <w:r w:rsidRPr="007B27E7">
        <w:t>Temesta</w:t>
      </w:r>
      <w:proofErr w:type="spellEnd"/>
      <w:r w:rsidRPr="007B27E7">
        <w:t xml:space="preserve">®) </w:t>
      </w:r>
      <w:r>
        <w:br/>
      </w:r>
      <w:r w:rsidRPr="007B27E7">
        <w:t xml:space="preserve">Dosierung 2 - 12 mg / Tag in Einzeldosen zu je 1 – 2 mg </w:t>
      </w:r>
      <w:r>
        <w:br/>
      </w:r>
      <w:proofErr w:type="spellStart"/>
      <w:r w:rsidRPr="007B27E7">
        <w:rPr>
          <w:i/>
        </w:rPr>
        <w:t>Oxazepam</w:t>
      </w:r>
      <w:proofErr w:type="spellEnd"/>
      <w:r w:rsidRPr="007B27E7">
        <w:t xml:space="preserve"> (</w:t>
      </w:r>
      <w:proofErr w:type="spellStart"/>
      <w:r w:rsidRPr="007B27E7">
        <w:t>Praxiten</w:t>
      </w:r>
      <w:proofErr w:type="spellEnd"/>
      <w:r w:rsidRPr="007B27E7">
        <w:t>®)</w:t>
      </w:r>
      <w:r>
        <w:br/>
      </w:r>
      <w:r w:rsidRPr="007B27E7">
        <w:t xml:space="preserve">Dosierung 30  - 300 mg / Tag in Einzeldosen zu je 15 – 30 mg </w:t>
      </w:r>
    </w:p>
    <w:p w:rsidR="00411902" w:rsidRPr="007B27E7" w:rsidRDefault="00411902" w:rsidP="007B27E7">
      <w:r w:rsidRPr="007B27E7">
        <w:t xml:space="preserve">Erhöhung der Tagesgesamtdosis oder Umstellung auf </w:t>
      </w:r>
      <w:proofErr w:type="spellStart"/>
      <w:r w:rsidRPr="007B27E7">
        <w:t>Flunitrazepam</w:t>
      </w:r>
      <w:proofErr w:type="spellEnd"/>
      <w:r w:rsidRPr="007B27E7">
        <w:t xml:space="preserve"> (</w:t>
      </w:r>
      <w:proofErr w:type="spellStart"/>
      <w:r w:rsidRPr="007B27E7">
        <w:t>Somnubene</w:t>
      </w:r>
      <w:proofErr w:type="spellEnd"/>
      <w:r w:rsidRPr="007B27E7">
        <w:t>®) nur durch FA</w:t>
      </w:r>
    </w:p>
    <w:p w:rsidR="00411902" w:rsidRPr="007B27E7" w:rsidRDefault="00411902" w:rsidP="007B27E7"/>
    <w:p w:rsidR="00411902" w:rsidRPr="007B27E7" w:rsidRDefault="00411902" w:rsidP="007B27E7">
      <w:r w:rsidRPr="007B27E7">
        <w:sym w:font="Wingdings" w:char="F049"/>
      </w:r>
      <w:r w:rsidRPr="007B27E7">
        <w:t xml:space="preserve"> </w:t>
      </w:r>
      <w:r w:rsidRPr="007B27E7">
        <w:rPr>
          <w:b/>
        </w:rPr>
        <w:t>Patienten müssen vor Entlassung schriftlich darüber informiert werden, dass aufgrund des Verlustes der Opiattoleranz durch den Entzug bei erneutem Opiatkonsum ein deutlich erhöhtes Risiko einer lebensbedrohlichen Überdosierung besteht!</w:t>
      </w:r>
    </w:p>
    <w:p w:rsidR="00411902" w:rsidRPr="007B27E7" w:rsidRDefault="00411902" w:rsidP="007B27E7"/>
    <w:p w:rsidR="00186AA9" w:rsidRPr="00186AA9" w:rsidRDefault="00411902" w:rsidP="00186AA9">
      <w:pPr>
        <w:rPr>
          <w:color w:val="808080" w:themeColor="background1" w:themeShade="80"/>
          <w:lang w:val="en-GB"/>
        </w:rPr>
      </w:pPr>
      <w:r w:rsidRPr="007B27E7">
        <w:rPr>
          <w:color w:val="808080" w:themeColor="background1" w:themeShade="80"/>
        </w:rPr>
        <w:t xml:space="preserve">Formular </w:t>
      </w:r>
      <w:r w:rsidRPr="007B27E7">
        <w:rPr>
          <w:color w:val="808080" w:themeColor="background1" w:themeShade="80"/>
        </w:rPr>
        <w:sym w:font="Wingdings" w:char="F0E8"/>
      </w:r>
      <w:r w:rsidRPr="007B27E7">
        <w:rPr>
          <w:color w:val="808080" w:themeColor="background1" w:themeShade="80"/>
        </w:rPr>
        <w:t xml:space="preserve"> </w:t>
      </w:r>
      <w:r w:rsidR="00186AA9" w:rsidRPr="00186AA9">
        <w:rPr>
          <w:color w:val="808080" w:themeColor="background1" w:themeShade="80"/>
          <w:lang w:val="en-GB"/>
        </w:rPr>
        <w:t>\\“wegrfsoffice“\Psychiatrie\Formulare\PatInfo\Opiat-E</w:t>
      </w:r>
      <w:r w:rsidR="00186AA9">
        <w:rPr>
          <w:color w:val="808080" w:themeColor="background1" w:themeShade="80"/>
          <w:lang w:val="en-GB"/>
        </w:rPr>
        <w:t>ntzug</w:t>
      </w:r>
    </w:p>
    <w:p w:rsidR="00186AA9" w:rsidRPr="00186AA9" w:rsidRDefault="00186AA9" w:rsidP="00A67970">
      <w:pPr>
        <w:ind w:left="708"/>
        <w:rPr>
          <w:lang w:val="en-GB"/>
        </w:rPr>
        <w:sectPr w:rsidR="00186AA9" w:rsidRPr="00186AA9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0B6D18" w:rsidRPr="00186AA9" w:rsidRDefault="000B6D18" w:rsidP="00A67970">
      <w:pPr>
        <w:ind w:left="708"/>
        <w:rPr>
          <w:lang w:val="en-GB"/>
        </w:rPr>
      </w:pPr>
    </w:p>
    <w:sectPr w:rsidR="000B6D18" w:rsidRPr="00186AA9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7554A16-AA7D-4DA0-84C0-EF4B83D50DE6}"/>
    <w:docVar w:name="dgnword-eventsink" w:val="116618088"/>
  </w:docVars>
  <w:rsids>
    <w:rsidRoot w:val="005A48B9"/>
    <w:rsid w:val="000B6D18"/>
    <w:rsid w:val="00186AA9"/>
    <w:rsid w:val="003947E7"/>
    <w:rsid w:val="003E47B8"/>
    <w:rsid w:val="00411902"/>
    <w:rsid w:val="004D7B3B"/>
    <w:rsid w:val="005A48B9"/>
    <w:rsid w:val="0077186B"/>
    <w:rsid w:val="007B27E7"/>
    <w:rsid w:val="008636A9"/>
    <w:rsid w:val="008B140E"/>
    <w:rsid w:val="00910C4D"/>
    <w:rsid w:val="009D4F5E"/>
    <w:rsid w:val="00A67970"/>
    <w:rsid w:val="00B71A1F"/>
    <w:rsid w:val="00E10917"/>
    <w:rsid w:val="00E5427C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14358545.dotm</Template>
  <TotalTime>0</TotalTime>
  <Pages>3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4</cp:revision>
  <dcterms:created xsi:type="dcterms:W3CDTF">2014-03-18T10:15:00Z</dcterms:created>
  <dcterms:modified xsi:type="dcterms:W3CDTF">2018-01-24T15:58:00Z</dcterms:modified>
</cp:coreProperties>
</file>