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14" w:rsidRDefault="001C5814" w:rsidP="00B809DC">
      <w:pPr>
        <w:pStyle w:val="berschrift1"/>
      </w:pPr>
      <w:bookmarkStart w:id="0" w:name="_Toc384726080"/>
      <w:r>
        <w:t>Psychopharmakotherapie</w:t>
      </w:r>
      <w:bookmarkEnd w:id="0"/>
      <w:r>
        <w:t xml:space="preserve"> </w:t>
      </w:r>
    </w:p>
    <w:p w:rsidR="001C5814" w:rsidRDefault="001C5814" w:rsidP="00B809DC">
      <w:pPr>
        <w:pStyle w:val="berschrift2"/>
      </w:pPr>
      <w:r>
        <w:t>Behandlungssicherheit durch folgende Maßnahmen</w:t>
      </w:r>
    </w:p>
    <w:p w:rsidR="001C5814" w:rsidRPr="00B809DC" w:rsidRDefault="001C5814" w:rsidP="00B809DC">
      <w:pPr>
        <w:rPr>
          <w:color w:val="808080" w:themeColor="background1" w:themeShade="80"/>
        </w:rPr>
      </w:pPr>
      <w:r w:rsidRPr="00B809DC">
        <w:rPr>
          <w:b/>
        </w:rPr>
        <w:t>systematische klinische Beurteilung</w:t>
      </w:r>
      <w:r>
        <w:t xml:space="preserve"> mit BPRS, YMRS (AP, MS), MADRS (AD) zu Beginn (A) und Entlassung (E), Dokumentation (</w:t>
      </w:r>
      <w:proofErr w:type="spellStart"/>
      <w:r>
        <w:t>Dok</w:t>
      </w:r>
      <w:proofErr w:type="spellEnd"/>
      <w:r>
        <w:t>) am Aufnahmeblatt</w:t>
      </w:r>
      <w:r>
        <w:br/>
      </w:r>
      <w:r w:rsidRPr="00B809DC">
        <w:rPr>
          <w:b/>
        </w:rPr>
        <w:t>systematische UAW Dokumentation</w:t>
      </w:r>
      <w:r>
        <w:t xml:space="preserve"> durch Teilnahme am AMSP Projekt</w:t>
      </w:r>
      <w:r>
        <w:br/>
      </w:r>
      <w:r w:rsidR="00E55976">
        <w:rPr>
          <w:b/>
        </w:rPr>
        <w:t>fachärztliche Supervision</w:t>
      </w:r>
      <w:r>
        <w:t xml:space="preserve">: </w:t>
      </w:r>
      <w:r w:rsidR="00E55976">
        <w:t>Rücksprache zu</w:t>
      </w:r>
      <w:r>
        <w:t xml:space="preserve"> Diagnose und geplanter Therapie </w:t>
      </w:r>
      <w:r w:rsidR="00E55976">
        <w:t>mit Fachä</w:t>
      </w:r>
      <w:r>
        <w:t>rzt</w:t>
      </w:r>
      <w:r w:rsidR="00E55976">
        <w:t>in/</w:t>
      </w:r>
      <w:proofErr w:type="spellStart"/>
      <w:r w:rsidR="00E55976">
        <w:t>arzt</w:t>
      </w:r>
      <w:proofErr w:type="spellEnd"/>
      <w:r w:rsidR="00E55976">
        <w:t xml:space="preserve"> </w:t>
      </w:r>
      <w:r>
        <w:t xml:space="preserve">(für Diagnose auch klinische Psychologie (kliP)) der Abteilung und kurze </w:t>
      </w:r>
      <w:proofErr w:type="spellStart"/>
      <w:r>
        <w:t>Dok</w:t>
      </w:r>
      <w:proofErr w:type="spellEnd"/>
      <w:r>
        <w:t xml:space="preserve"> darüber in Krankenblatt/Fieberkurve. </w:t>
      </w:r>
      <w:r>
        <w:br/>
      </w:r>
      <w:r w:rsidRPr="00B809DC">
        <w:rPr>
          <w:color w:val="808080" w:themeColor="background1" w:themeShade="80"/>
        </w:rPr>
        <w:t>(Geschieht in der Regel bei Besprechungen – wird aber nicht immer dokumentiert)</w:t>
      </w:r>
    </w:p>
    <w:p w:rsidR="001C5814" w:rsidRDefault="001C5814" w:rsidP="00B809DC">
      <w:pPr>
        <w:pStyle w:val="berschrift2"/>
      </w:pPr>
      <w:r>
        <w:t>6 allgemeine Behandlungsregeln für Psychopharmaka</w:t>
      </w:r>
    </w:p>
    <w:p w:rsidR="001C5814" w:rsidRDefault="001C5814" w:rsidP="00B809DC">
      <w:r>
        <w:t xml:space="preserve">1. </w:t>
      </w:r>
      <w:r w:rsidRPr="00B809DC">
        <w:rPr>
          <w:b/>
        </w:rPr>
        <w:t>Monotherapie</w:t>
      </w:r>
      <w:r>
        <w:br/>
        <w:t>1te Wahl für Therapie mit Antidepressiva (AD) oder Antipsychotika (AP)</w:t>
      </w:r>
      <w:r>
        <w:br/>
        <w:t xml:space="preserve">Bei Kombinationen ausführliche Aufklärung + </w:t>
      </w:r>
      <w:proofErr w:type="spellStart"/>
      <w:r>
        <w:t>Dok</w:t>
      </w:r>
      <w:proofErr w:type="spellEnd"/>
      <w:r>
        <w:t xml:space="preserve">, bei Kombination zweier AP zweite Meinung + </w:t>
      </w:r>
      <w:proofErr w:type="spellStart"/>
      <w:r>
        <w:t>Dok</w:t>
      </w:r>
      <w:proofErr w:type="spellEnd"/>
      <w:r>
        <w:t xml:space="preserve"> obligat </w:t>
      </w:r>
      <w:r w:rsidRPr="00B809DC">
        <w:rPr>
          <w:color w:val="808080" w:themeColor="background1" w:themeShade="80"/>
        </w:rPr>
        <w:t>(da nicht LL – konform)</w:t>
      </w:r>
    </w:p>
    <w:p w:rsidR="001C5814" w:rsidRDefault="001C5814" w:rsidP="00B809DC">
      <w:r>
        <w:t xml:space="preserve">2. </w:t>
      </w:r>
      <w:r w:rsidRPr="00B809DC">
        <w:rPr>
          <w:b/>
        </w:rPr>
        <w:t>Antipsychotika</w:t>
      </w:r>
      <w:r>
        <w:t xml:space="preserve"> </w:t>
      </w:r>
      <w:r>
        <w:br/>
        <w:t xml:space="preserve">Anwendung nur bei dokumentierter Indikation </w:t>
      </w:r>
      <w:r>
        <w:sym w:font="Wingdings" w:char="F0E0"/>
      </w:r>
      <w:r>
        <w:t xml:space="preserve"> </w:t>
      </w:r>
      <w:proofErr w:type="spellStart"/>
      <w:r>
        <w:t>Scores</w:t>
      </w:r>
      <w:proofErr w:type="spellEnd"/>
      <w:r>
        <w:t>: BPRS, YMRS</w:t>
      </w:r>
      <w:r>
        <w:br/>
      </w:r>
      <w:r w:rsidRPr="00B809DC">
        <w:rPr>
          <w:b/>
        </w:rPr>
        <w:t>Auswahl</w:t>
      </w:r>
      <w:r>
        <w:t>: Vorbehandlung / mögliche UAW / metabolische Risiken / Applikation</w:t>
      </w:r>
      <w:r>
        <w:br/>
      </w:r>
      <w:r w:rsidRPr="00B809DC">
        <w:rPr>
          <w:b/>
        </w:rPr>
        <w:t>vor</w:t>
      </w:r>
      <w:r>
        <w:t xml:space="preserve"> erster Anwendung: Score / EKG / Labor</w:t>
      </w:r>
      <w:r>
        <w:br/>
      </w:r>
      <w:r w:rsidRPr="00B809DC">
        <w:rPr>
          <w:b/>
        </w:rPr>
        <w:t>Dosierung</w:t>
      </w:r>
      <w:r>
        <w:t xml:space="preserve">: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– </w:t>
      </w:r>
      <w:proofErr w:type="spellStart"/>
      <w:r>
        <w:t>go</w:t>
      </w:r>
      <w:proofErr w:type="spellEnd"/>
      <w:r>
        <w:t xml:space="preserve"> </w:t>
      </w:r>
      <w:proofErr w:type="spellStart"/>
      <w:r>
        <w:t>slow</w:t>
      </w:r>
      <w:proofErr w:type="spellEnd"/>
      <w:r>
        <w:t xml:space="preserve"> </w:t>
      </w:r>
      <w:r>
        <w:br/>
      </w:r>
      <w:r w:rsidRPr="00B809DC">
        <w:rPr>
          <w:i/>
          <w:color w:val="808080" w:themeColor="background1" w:themeShade="80"/>
        </w:rPr>
        <w:t>Ausnahme</w:t>
      </w:r>
      <w:r>
        <w:t xml:space="preserve">: akute Sedierung bei Notaufnahme (EKG vor </w:t>
      </w:r>
      <w:proofErr w:type="spellStart"/>
      <w:r>
        <w:t>Haldolgabe</w:t>
      </w:r>
      <w:proofErr w:type="spellEnd"/>
      <w:r>
        <w:t>, sonst danach)</w:t>
      </w:r>
      <w:r>
        <w:br/>
        <w:t xml:space="preserve">vor </w:t>
      </w:r>
      <w:r w:rsidRPr="00B809DC">
        <w:rPr>
          <w:b/>
        </w:rPr>
        <w:t xml:space="preserve">off </w:t>
      </w:r>
      <w:proofErr w:type="spellStart"/>
      <w:r w:rsidRPr="00B809DC">
        <w:rPr>
          <w:b/>
        </w:rPr>
        <w:t>label</w:t>
      </w:r>
      <w:proofErr w:type="spellEnd"/>
      <w:r>
        <w:t xml:space="preserve"> Anwendung: </w:t>
      </w:r>
      <w:proofErr w:type="spellStart"/>
      <w:r>
        <w:t>Dok</w:t>
      </w:r>
      <w:proofErr w:type="spellEnd"/>
      <w:r>
        <w:t xml:space="preserve"> der erweiterten Aufklärung, ev. 2te Meinung  </w:t>
      </w:r>
      <w:r>
        <w:br/>
      </w:r>
      <w:r w:rsidRPr="00B809DC">
        <w:rPr>
          <w:b/>
        </w:rPr>
        <w:t>erste Episode</w:t>
      </w:r>
      <w:r>
        <w:t xml:space="preserve"> (F20, F25, F31): Aripiprazol oder Quetiapin, vor Therapiebeginn Diagnosecheck (Kollegen, klinische Psychologie (kliP)) </w:t>
      </w:r>
      <w:r>
        <w:sym w:font="Wingdings" w:char="F0E0"/>
      </w:r>
      <w:r>
        <w:t xml:space="preserve"> siehe 5 Regeln APA</w:t>
      </w:r>
    </w:p>
    <w:p w:rsidR="001C5814" w:rsidRDefault="001C5814" w:rsidP="00B809DC">
      <w:r>
        <w:t xml:space="preserve">3. </w:t>
      </w:r>
      <w:r w:rsidRPr="00B809DC">
        <w:rPr>
          <w:b/>
        </w:rPr>
        <w:t>Therapieänderungen</w:t>
      </w:r>
      <w:r>
        <w:br/>
        <w:t xml:space="preserve">Änderung von laufenden Therapien ohne vorherige Rücksprache mit behandelnden Ärzten nur in Notfällen und mit ausführlicher </w:t>
      </w:r>
      <w:proofErr w:type="spellStart"/>
      <w:r>
        <w:t>Dok</w:t>
      </w:r>
      <w:proofErr w:type="spellEnd"/>
      <w:r>
        <w:t xml:space="preserve"> inklusive </w:t>
      </w:r>
      <w:proofErr w:type="spellStart"/>
      <w:r>
        <w:t>Scores</w:t>
      </w:r>
      <w:proofErr w:type="spellEnd"/>
      <w:r>
        <w:t>.</w:t>
      </w:r>
    </w:p>
    <w:p w:rsidR="001C5814" w:rsidRDefault="001C5814" w:rsidP="00B809DC">
      <w:r>
        <w:t xml:space="preserve">4. </w:t>
      </w:r>
      <w:r w:rsidRPr="00B809DC">
        <w:rPr>
          <w:b/>
        </w:rPr>
        <w:t xml:space="preserve">Gravidität und </w:t>
      </w:r>
      <w:proofErr w:type="spellStart"/>
      <w:r w:rsidRPr="00B809DC">
        <w:rPr>
          <w:b/>
        </w:rPr>
        <w:t>post</w:t>
      </w:r>
      <w:proofErr w:type="spellEnd"/>
      <w:r w:rsidRPr="00B809DC">
        <w:rPr>
          <w:b/>
        </w:rPr>
        <w:t xml:space="preserve"> partum Periode</w:t>
      </w:r>
      <w:r>
        <w:br/>
        <w:t xml:space="preserve">Initial im Notfall nur BDZ. Beginn einer spezifischen Psychopharmakotherapie wenn </w:t>
      </w:r>
      <w:r>
        <w:lastRenderedPageBreak/>
        <w:t xml:space="preserve">möglich erst nach Rücksprache im Team. Klinische </w:t>
      </w:r>
      <w:proofErr w:type="spellStart"/>
      <w:r>
        <w:t>Dok</w:t>
      </w:r>
      <w:proofErr w:type="spellEnd"/>
      <w:r>
        <w:t xml:space="preserve"> inkl. </w:t>
      </w:r>
      <w:proofErr w:type="spellStart"/>
      <w:r>
        <w:t>Scores</w:t>
      </w:r>
      <w:proofErr w:type="spellEnd"/>
      <w:r>
        <w:t xml:space="preserve">, unbedingt schriftliche Aufklärung versuchen. Entscheidung zum Abstillen </w:t>
      </w:r>
      <w:bookmarkStart w:id="1" w:name="_GoBack"/>
      <w:bookmarkEnd w:id="1"/>
      <w:r>
        <w:t>nur nach Besprechung im Team oder 2te Meinung, bis dahin Milch abpumpen und verwerfen.</w:t>
      </w:r>
    </w:p>
    <w:p w:rsidR="001C5814" w:rsidRPr="00B809DC" w:rsidRDefault="001C5814" w:rsidP="00B809DC">
      <w:pPr>
        <w:rPr>
          <w:color w:val="808080" w:themeColor="background1" w:themeShade="80"/>
        </w:rPr>
      </w:pPr>
      <w:r>
        <w:t xml:space="preserve">5. </w:t>
      </w:r>
      <w:r w:rsidRPr="00B809DC">
        <w:rPr>
          <w:b/>
        </w:rPr>
        <w:t>Langzeitbehandlung</w:t>
      </w:r>
      <w:r>
        <w:rPr>
          <w:b/>
        </w:rPr>
        <w:br/>
      </w:r>
      <w:r>
        <w:t xml:space="preserve">vor Beginn einer Langzeitbehandlung mit </w:t>
      </w:r>
      <w:proofErr w:type="spellStart"/>
      <w:r>
        <w:t>Moodstabilizer</w:t>
      </w:r>
      <w:proofErr w:type="spellEnd"/>
      <w:r>
        <w:t xml:space="preserve"> (MS = Lithium, Valproat, LTG) oder Depot-AP: schriftliche Dokumentation von Aufklärung und Einwilligung</w:t>
      </w:r>
      <w:r>
        <w:br/>
      </w:r>
      <w:r w:rsidRPr="00B809DC">
        <w:rPr>
          <w:color w:val="808080" w:themeColor="background1" w:themeShade="80"/>
        </w:rPr>
        <w:sym w:font="Wingdings" w:char="F0E0"/>
      </w:r>
      <w:r w:rsidRPr="00B809DC">
        <w:rPr>
          <w:color w:val="808080" w:themeColor="background1" w:themeShade="80"/>
        </w:rPr>
        <w:t xml:space="preserve"> Laufwerk Psychiatrie$ auf „wkhifs01“ \ Formulare \ </w:t>
      </w:r>
      <w:proofErr w:type="spellStart"/>
      <w:r w:rsidRPr="00B809DC">
        <w:rPr>
          <w:color w:val="808080" w:themeColor="background1" w:themeShade="80"/>
        </w:rPr>
        <w:t>PatInfo</w:t>
      </w:r>
      <w:proofErr w:type="spellEnd"/>
      <w:r w:rsidRPr="00B809DC">
        <w:rPr>
          <w:color w:val="808080" w:themeColor="background1" w:themeShade="80"/>
        </w:rPr>
        <w:t xml:space="preserve"> \ Info </w:t>
      </w:r>
      <w:proofErr w:type="spellStart"/>
      <w:r w:rsidRPr="00B809DC">
        <w:rPr>
          <w:color w:val="808080" w:themeColor="background1" w:themeShade="80"/>
        </w:rPr>
        <w:t>Med</w:t>
      </w:r>
      <w:proofErr w:type="spellEnd"/>
    </w:p>
    <w:p w:rsidR="001C5814" w:rsidRDefault="001C5814" w:rsidP="00B809DC">
      <w:pPr>
        <w:rPr>
          <w:color w:val="808080" w:themeColor="background1" w:themeShade="80"/>
        </w:rPr>
      </w:pPr>
      <w:r>
        <w:t xml:space="preserve">6. </w:t>
      </w:r>
      <w:r w:rsidRPr="00B809DC">
        <w:rPr>
          <w:b/>
        </w:rPr>
        <w:t>UAW Dokumentation</w:t>
      </w:r>
      <w:r>
        <w:t xml:space="preserve"> – </w:t>
      </w:r>
      <w:r w:rsidRPr="00B809DC">
        <w:rPr>
          <w:b/>
          <w:color w:val="808080" w:themeColor="background1" w:themeShade="80"/>
        </w:rPr>
        <w:t>ÖAMSP Projekt</w:t>
      </w:r>
      <w:r>
        <w:rPr>
          <w:b/>
          <w:color w:val="808080" w:themeColor="background1" w:themeShade="80"/>
        </w:rPr>
        <w:br/>
      </w:r>
      <w:r>
        <w:t>AMSP-Formular je UAW Fall ausfüllen und mit fortlaufender Nr. abspeichern auf</w:t>
      </w:r>
      <w:r>
        <w:br/>
      </w:r>
      <w:r w:rsidRPr="00B809DC">
        <w:rPr>
          <w:color w:val="808080" w:themeColor="background1" w:themeShade="80"/>
        </w:rPr>
        <w:sym w:font="Wingdings" w:char="F0E0"/>
      </w:r>
      <w:r w:rsidRPr="00B809DC">
        <w:rPr>
          <w:color w:val="808080" w:themeColor="background1" w:themeShade="80"/>
        </w:rPr>
        <w:t xml:space="preserve"> Laufwerk Psychiatrie$ auf „wkhifs01“ \ Bibliothek \ AMSP \ aktuelle Fälle \ Station</w:t>
      </w:r>
    </w:p>
    <w:p w:rsidR="001C5814" w:rsidRPr="00B809DC" w:rsidRDefault="001C5814" w:rsidP="00B809DC">
      <w:pPr>
        <w:pStyle w:val="berschrift2"/>
      </w:pPr>
      <w:r>
        <w:t xml:space="preserve">5 Regeln für die sichere Verwendung von Antipsychotika </w:t>
      </w:r>
      <w:r w:rsidRPr="00B809DC">
        <w:t xml:space="preserve">der American </w:t>
      </w:r>
      <w:proofErr w:type="spellStart"/>
      <w:r w:rsidRPr="00B809DC">
        <w:t>Psychiatric</w:t>
      </w:r>
      <w:proofErr w:type="spellEnd"/>
      <w:r w:rsidRPr="00B809DC">
        <w:t xml:space="preserve"> </w:t>
      </w:r>
      <w:proofErr w:type="spellStart"/>
      <w:r w:rsidRPr="00B809DC">
        <w:t>Association</w:t>
      </w:r>
      <w:proofErr w:type="spellEnd"/>
      <w:r w:rsidRPr="00B809DC">
        <w:t xml:space="preserve"> APA</w:t>
      </w:r>
    </w:p>
    <w:p w:rsidR="001C5814" w:rsidRPr="00B809DC" w:rsidRDefault="001C5814" w:rsidP="001C5814">
      <w:pPr>
        <w:pStyle w:val="Listenabsatz"/>
        <w:numPr>
          <w:ilvl w:val="0"/>
          <w:numId w:val="4"/>
        </w:numPr>
        <w:ind w:left="284" w:hanging="284"/>
        <w:rPr>
          <w:lang w:val="en-US"/>
        </w:rPr>
      </w:pPr>
      <w:r w:rsidRPr="00B809DC">
        <w:rPr>
          <w:lang w:val="en-US"/>
        </w:rPr>
        <w:t>Don't prescribe antipsychotic medications to patients for any indication without appropriate initial evaluation and appropriate ongoing monitoring</w:t>
      </w:r>
    </w:p>
    <w:p w:rsidR="001C5814" w:rsidRPr="00B809DC" w:rsidRDefault="001C5814" w:rsidP="001C5814">
      <w:pPr>
        <w:pStyle w:val="Listenabsatz"/>
        <w:numPr>
          <w:ilvl w:val="0"/>
          <w:numId w:val="4"/>
        </w:numPr>
        <w:ind w:left="284" w:hanging="284"/>
        <w:rPr>
          <w:lang w:val="en-US"/>
        </w:rPr>
      </w:pPr>
      <w:r w:rsidRPr="00B809DC">
        <w:rPr>
          <w:lang w:val="en-US"/>
        </w:rPr>
        <w:t>Don't routinely prescribe 2 or more antipsychotic medications concurrently</w:t>
      </w:r>
    </w:p>
    <w:p w:rsidR="001C5814" w:rsidRPr="00B809DC" w:rsidRDefault="001C5814" w:rsidP="001C5814">
      <w:pPr>
        <w:pStyle w:val="Listenabsatz"/>
        <w:numPr>
          <w:ilvl w:val="0"/>
          <w:numId w:val="4"/>
        </w:numPr>
        <w:ind w:left="284" w:hanging="284"/>
        <w:rPr>
          <w:lang w:val="en-US"/>
        </w:rPr>
      </w:pPr>
      <w:r w:rsidRPr="00B809DC">
        <w:rPr>
          <w:lang w:val="en-US"/>
        </w:rPr>
        <w:t>Don't use antipsychotics as first choice to treat behavioral and psychological symptoms of dementia</w:t>
      </w:r>
    </w:p>
    <w:p w:rsidR="001C5814" w:rsidRPr="00B809DC" w:rsidRDefault="001C5814" w:rsidP="001C5814">
      <w:pPr>
        <w:pStyle w:val="Listenabsatz"/>
        <w:numPr>
          <w:ilvl w:val="0"/>
          <w:numId w:val="4"/>
        </w:numPr>
        <w:ind w:left="284" w:hanging="284"/>
        <w:rPr>
          <w:lang w:val="en-US"/>
        </w:rPr>
      </w:pPr>
      <w:r w:rsidRPr="00B809DC">
        <w:rPr>
          <w:lang w:val="en-US"/>
        </w:rPr>
        <w:t>Don't routinely prescribe antipsychotic medications as a first-line intervention for insomnia in adults</w:t>
      </w:r>
    </w:p>
    <w:p w:rsidR="001C5814" w:rsidRPr="0006410B" w:rsidRDefault="001C5814" w:rsidP="001C5814">
      <w:pPr>
        <w:pStyle w:val="Listenabsatz"/>
        <w:numPr>
          <w:ilvl w:val="0"/>
          <w:numId w:val="4"/>
        </w:numPr>
        <w:ind w:left="284" w:hanging="284"/>
        <w:rPr>
          <w:i/>
          <w:color w:val="808080" w:themeColor="background1" w:themeShade="80"/>
          <w:lang w:val="en-US"/>
        </w:rPr>
      </w:pPr>
      <w:r w:rsidRPr="0006410B">
        <w:rPr>
          <w:lang w:val="en-US"/>
        </w:rPr>
        <w:t>Don't routinely prescribe antipsychotic medications as a first-line intervention for children and adolescents for any diagnosis other than psychotic disorders</w:t>
      </w:r>
      <w:r>
        <w:rPr>
          <w:lang w:val="en-US"/>
        </w:rPr>
        <w:br/>
      </w:r>
      <w:r w:rsidRPr="0006410B">
        <w:rPr>
          <w:i/>
          <w:color w:val="808080" w:themeColor="background1" w:themeShade="80"/>
          <w:lang w:val="en-US"/>
        </w:rPr>
        <w:t>www.psychiatry.org/choosingwisely / APA 2013</w:t>
      </w:r>
      <w:r>
        <w:rPr>
          <w:i/>
          <w:color w:val="808080" w:themeColor="background1" w:themeShade="80"/>
          <w:lang w:val="en-US"/>
        </w:rPr>
        <w:br/>
      </w:r>
    </w:p>
    <w:p w:rsidR="001C5814" w:rsidRPr="0006410B" w:rsidRDefault="001C5814" w:rsidP="001C5814">
      <w:pPr>
        <w:pStyle w:val="Listenabsatz"/>
        <w:numPr>
          <w:ilvl w:val="0"/>
          <w:numId w:val="5"/>
        </w:numPr>
        <w:ind w:left="284" w:hanging="284"/>
        <w:rPr>
          <w:lang w:val="de-DE"/>
        </w:rPr>
      </w:pPr>
      <w:r w:rsidRPr="0006410B">
        <w:rPr>
          <w:lang w:val="de-DE"/>
        </w:rPr>
        <w:t>keine Antipsychotika ohne ausreichende initiale Bewertung und regelmäßige Kontrollen ungeachtet der Indikation</w:t>
      </w:r>
    </w:p>
    <w:p w:rsidR="001C5814" w:rsidRPr="0006410B" w:rsidRDefault="001C5814" w:rsidP="001C5814">
      <w:pPr>
        <w:pStyle w:val="Listenabsatz"/>
        <w:numPr>
          <w:ilvl w:val="0"/>
          <w:numId w:val="5"/>
        </w:numPr>
        <w:ind w:left="284" w:hanging="284"/>
        <w:rPr>
          <w:lang w:val="de-DE"/>
        </w:rPr>
      </w:pPr>
      <w:r w:rsidRPr="0006410B">
        <w:rPr>
          <w:lang w:val="de-DE"/>
        </w:rPr>
        <w:t>keine routinemäßige Kombination von 2 oder mehreren Antipsychotika</w:t>
      </w:r>
    </w:p>
    <w:p w:rsidR="001C5814" w:rsidRPr="0006410B" w:rsidRDefault="001C5814" w:rsidP="001C5814">
      <w:pPr>
        <w:pStyle w:val="Listenabsatz"/>
        <w:numPr>
          <w:ilvl w:val="0"/>
          <w:numId w:val="5"/>
        </w:numPr>
        <w:ind w:left="284" w:hanging="284"/>
        <w:rPr>
          <w:lang w:val="de-DE"/>
        </w:rPr>
      </w:pPr>
      <w:r w:rsidRPr="0006410B">
        <w:rPr>
          <w:lang w:val="de-DE"/>
        </w:rPr>
        <w:t>keine Antipsychotika als erste Wahl bei Verhaltensstörungen bei Demenz</w:t>
      </w:r>
    </w:p>
    <w:p w:rsidR="001C5814" w:rsidRPr="0006410B" w:rsidRDefault="001C5814" w:rsidP="001C5814">
      <w:pPr>
        <w:pStyle w:val="Listenabsatz"/>
        <w:numPr>
          <w:ilvl w:val="0"/>
          <w:numId w:val="5"/>
        </w:numPr>
        <w:ind w:left="284" w:hanging="284"/>
        <w:rPr>
          <w:lang w:val="de-DE"/>
        </w:rPr>
      </w:pPr>
      <w:r w:rsidRPr="0006410B">
        <w:rPr>
          <w:lang w:val="de-DE"/>
        </w:rPr>
        <w:t>keine Antipsychotika als erste Wahl bei Schlafstörungen bei Erwachsenen</w:t>
      </w:r>
    </w:p>
    <w:p w:rsidR="001C5814" w:rsidRPr="0006410B" w:rsidRDefault="001C5814" w:rsidP="001C5814">
      <w:pPr>
        <w:pStyle w:val="Listenabsatz"/>
        <w:numPr>
          <w:ilvl w:val="0"/>
          <w:numId w:val="5"/>
        </w:numPr>
        <w:ind w:left="284" w:hanging="284"/>
        <w:rPr>
          <w:lang w:val="de-DE"/>
        </w:rPr>
      </w:pPr>
      <w:r w:rsidRPr="0006410B">
        <w:rPr>
          <w:lang w:val="de-DE"/>
        </w:rPr>
        <w:t>keine Antipsychotika als erste Wahl bei Kindern und Jugendlichen mit Ausnahme von psychotischen Störungen</w:t>
      </w:r>
    </w:p>
    <w:p w:rsidR="001C5814" w:rsidRDefault="001C5814" w:rsidP="00A67970">
      <w:pPr>
        <w:ind w:left="708"/>
        <w:sectPr w:rsidR="001C5814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</w:p>
    <w:p w:rsidR="000B6D18" w:rsidRPr="000B6D18" w:rsidRDefault="000B6D18" w:rsidP="00A67970">
      <w:pPr>
        <w:ind w:left="708"/>
      </w:pPr>
    </w:p>
    <w:sectPr w:rsidR="000B6D18" w:rsidRPr="000B6D18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E42"/>
    <w:multiLevelType w:val="hybridMultilevel"/>
    <w:tmpl w:val="923A3070"/>
    <w:lvl w:ilvl="0" w:tplc="6DD61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B45B88"/>
    <w:multiLevelType w:val="hybridMultilevel"/>
    <w:tmpl w:val="7110C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A311E"/>
    <w:multiLevelType w:val="hybridMultilevel"/>
    <w:tmpl w:val="923A3070"/>
    <w:lvl w:ilvl="0" w:tplc="6DD61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1037B22-406F-47B2-8CD3-F1A40A407775}"/>
    <w:docVar w:name="dgnword-eventsink" w:val="116552552"/>
  </w:docVars>
  <w:rsids>
    <w:rsidRoot w:val="005A48B9"/>
    <w:rsid w:val="0006410B"/>
    <w:rsid w:val="000B6D18"/>
    <w:rsid w:val="001C5814"/>
    <w:rsid w:val="003947E7"/>
    <w:rsid w:val="003E47B8"/>
    <w:rsid w:val="004D7B3B"/>
    <w:rsid w:val="005A48B9"/>
    <w:rsid w:val="0077186B"/>
    <w:rsid w:val="007B27E7"/>
    <w:rsid w:val="008636A9"/>
    <w:rsid w:val="008B140E"/>
    <w:rsid w:val="009D4F5E"/>
    <w:rsid w:val="009F0B3F"/>
    <w:rsid w:val="00A67970"/>
    <w:rsid w:val="00AD5D12"/>
    <w:rsid w:val="00B809DC"/>
    <w:rsid w:val="00C1494B"/>
    <w:rsid w:val="00DC319E"/>
    <w:rsid w:val="00E10917"/>
    <w:rsid w:val="00E5427C"/>
    <w:rsid w:val="00E55976"/>
    <w:rsid w:val="00F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B27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B27E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809D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809DC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B27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B27E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809D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809D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E42090AC.dotm</Template>
  <TotalTime>0</TotalTime>
  <Pages>3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Windhager Elmar, Prim. Dr.</cp:lastModifiedBy>
  <cp:revision>4</cp:revision>
  <dcterms:created xsi:type="dcterms:W3CDTF">2014-03-18T10:23:00Z</dcterms:created>
  <dcterms:modified xsi:type="dcterms:W3CDTF">2018-01-24T16:02:00Z</dcterms:modified>
</cp:coreProperties>
</file>