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C9" w:rsidRPr="004304C5" w:rsidRDefault="001E34C9" w:rsidP="004304C5">
      <w:pPr>
        <w:pStyle w:val="berschrift1"/>
      </w:pPr>
      <w:bookmarkStart w:id="0" w:name="_Toc273764940"/>
      <w:bookmarkStart w:id="1" w:name="_Toc380321137"/>
      <w:bookmarkStart w:id="2" w:name="_Toc384726081"/>
      <w:r w:rsidRPr="004304C5">
        <w:t>Sichere Therapie mit SSRI</w:t>
      </w:r>
      <w:bookmarkEnd w:id="0"/>
      <w:bookmarkEnd w:id="1"/>
      <w:bookmarkEnd w:id="2"/>
      <w:r w:rsidRPr="004304C5">
        <w:t xml:space="preserve"> </w:t>
      </w:r>
    </w:p>
    <w:p w:rsidR="001E34C9" w:rsidRPr="004304C5" w:rsidRDefault="001E34C9" w:rsidP="004304C5">
      <w:pPr>
        <w:pStyle w:val="berschrift2"/>
      </w:pPr>
      <w:r w:rsidRPr="004304C5">
        <w:t>Blutungsrisiko unter SSRI</w:t>
      </w:r>
    </w:p>
    <w:p w:rsidR="001E34C9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SSRI erhöhen gering das Risiko für ICB: </w:t>
      </w:r>
      <w:proofErr w:type="spellStart"/>
      <w:r w:rsidRPr="004304C5">
        <w:t>adj</w:t>
      </w:r>
      <w:r w:rsidR="00113040">
        <w:t>usted</w:t>
      </w:r>
      <w:proofErr w:type="spellEnd"/>
      <w:r w:rsidRPr="004304C5">
        <w:t xml:space="preserve"> RR = 1,5 </w:t>
      </w:r>
    </w:p>
    <w:p w:rsidR="001E34C9" w:rsidRDefault="001E34C9" w:rsidP="001E34C9">
      <w:pPr>
        <w:pStyle w:val="Listenabsatz"/>
        <w:numPr>
          <w:ilvl w:val="0"/>
          <w:numId w:val="10"/>
        </w:numPr>
      </w:pPr>
      <w:r w:rsidRPr="004304C5">
        <w:t>SSRI erhöhen dosisunabhängig das Risiko für GI-Blutung: OR = 2,4</w:t>
      </w:r>
    </w:p>
    <w:p w:rsidR="001E34C9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bei </w:t>
      </w:r>
      <w:proofErr w:type="spellStart"/>
      <w:r w:rsidRPr="004304C5">
        <w:t>Kome</w:t>
      </w:r>
      <w:r w:rsidRPr="004304C5">
        <w:softHyphen/>
        <w:t>dikation</w:t>
      </w:r>
      <w:proofErr w:type="spellEnd"/>
      <w:r w:rsidRPr="004304C5">
        <w:t xml:space="preserve"> mit </w:t>
      </w:r>
      <w:proofErr w:type="spellStart"/>
      <w:r w:rsidRPr="004304C5">
        <w:t>Thrombozytenaggre</w:t>
      </w:r>
      <w:r w:rsidRPr="004304C5">
        <w:softHyphen/>
        <w:t>gationshemmern</w:t>
      </w:r>
      <w:proofErr w:type="spellEnd"/>
      <w:r w:rsidRPr="004304C5">
        <w:t xml:space="preserve"> 5,2 – 7,2 </w:t>
      </w:r>
    </w:p>
    <w:p w:rsidR="001E34C9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bei </w:t>
      </w:r>
      <w:proofErr w:type="spellStart"/>
      <w:r w:rsidRPr="004304C5">
        <w:t>Komedikation</w:t>
      </w:r>
      <w:proofErr w:type="spellEnd"/>
      <w:r w:rsidRPr="004304C5">
        <w:t xml:space="preserve"> mit NSAR OR = 6,3 (2,9 – 15,6)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Blutungsneigung nimmt bis zu 25 Wochen nach Therapiebeginn zu</w:t>
      </w:r>
    </w:p>
    <w:p w:rsidR="001E34C9" w:rsidRDefault="001E34C9" w:rsidP="004304C5">
      <w:pPr>
        <w:spacing w:after="0" w:line="240" w:lineRule="auto"/>
        <w:rPr>
          <w:b/>
        </w:rPr>
      </w:pPr>
    </w:p>
    <w:p w:rsidR="001E34C9" w:rsidRDefault="001E34C9" w:rsidP="004304C5">
      <w:pPr>
        <w:pStyle w:val="berschrift3"/>
      </w:pPr>
      <w:r w:rsidRPr="004304C5">
        <w:t>Maßnahmen</w:t>
      </w:r>
      <w:r>
        <w:br/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vor Beginn einer SSRI-Therapie explizit nach vorange</w:t>
      </w:r>
      <w:r w:rsidRPr="004304C5">
        <w:softHyphen/>
        <w:t xml:space="preserve">gangenen GI - </w:t>
      </w:r>
      <w:proofErr w:type="spellStart"/>
      <w:r w:rsidRPr="004304C5">
        <w:t>Blu</w:t>
      </w:r>
      <w:r w:rsidRPr="004304C5">
        <w:softHyphen/>
        <w:t>tungsereignissen</w:t>
      </w:r>
      <w:proofErr w:type="spellEnd"/>
      <w:r w:rsidRPr="004304C5">
        <w:t xml:space="preserve">, Störungen der Blutgerinnung oder </w:t>
      </w:r>
      <w:proofErr w:type="spellStart"/>
      <w:r w:rsidRPr="004304C5">
        <w:t>Thrombozyten</w:t>
      </w:r>
      <w:r w:rsidRPr="004304C5">
        <w:softHyphen/>
        <w:t>funktion</w:t>
      </w:r>
      <w:proofErr w:type="spellEnd"/>
      <w:r w:rsidRPr="004304C5">
        <w:t xml:space="preserve"> und einer bestehenden Medikation fragen.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bei Vormedikation mit </w:t>
      </w:r>
      <w:proofErr w:type="spellStart"/>
      <w:r w:rsidRPr="004304C5">
        <w:t>Cumarin</w:t>
      </w:r>
      <w:proofErr w:type="spellEnd"/>
      <w:r w:rsidRPr="004304C5">
        <w:t>-Präparat SSRI mit geringer CYP2D6 Inhibi</w:t>
      </w:r>
      <w:r w:rsidRPr="004304C5">
        <w:softHyphen/>
        <w:t>tion, z.B. Citalopram wählen. Enzyminhibition kann in</w:t>
      </w:r>
      <w:r w:rsidRPr="004304C5">
        <w:softHyphen/>
        <w:t>nerhalb von 2 bis 3 Tagen entstehen, engma</w:t>
      </w:r>
      <w:r w:rsidRPr="004304C5">
        <w:softHyphen/>
        <w:t xml:space="preserve">schige Kontrolle der INR-Werte zu Beginn.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bei initial erhöhtem Blutungsrisiko oder nach GI – Blutungsereignis unter SSRI Einsatz von </w:t>
      </w:r>
      <w:proofErr w:type="spellStart"/>
      <w:r w:rsidRPr="004304C5">
        <w:t>Protonenpumpenhemmer</w:t>
      </w:r>
      <w:proofErr w:type="spellEnd"/>
      <w:r w:rsidRPr="004304C5">
        <w:t xml:space="preserve"> und AD mit geringer 5HT – Wiederaufnahmehemmung (z. B. </w:t>
      </w:r>
      <w:proofErr w:type="spellStart"/>
      <w:r w:rsidRPr="004304C5">
        <w:t>Mirtazapin</w:t>
      </w:r>
      <w:proofErr w:type="spellEnd"/>
      <w:r w:rsidRPr="004304C5">
        <w:t xml:space="preserve">, </w:t>
      </w:r>
      <w:proofErr w:type="spellStart"/>
      <w:r w:rsidRPr="004304C5">
        <w:t>Bupropion</w:t>
      </w:r>
      <w:proofErr w:type="spellEnd"/>
      <w:r w:rsidRPr="004304C5">
        <w:t xml:space="preserve">, </w:t>
      </w:r>
      <w:proofErr w:type="spellStart"/>
      <w:r w:rsidRPr="004304C5">
        <w:t>Doxepin</w:t>
      </w:r>
      <w:proofErr w:type="spellEnd"/>
      <w:r w:rsidRPr="004304C5">
        <w:t xml:space="preserve">)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Patienten sind auf die Ge</w:t>
      </w:r>
      <w:r w:rsidRPr="004304C5">
        <w:softHyphen/>
        <w:t>fährdung durch OTC – NSAR hin</w:t>
      </w:r>
      <w:r w:rsidRPr="004304C5">
        <w:softHyphen/>
        <w:t xml:space="preserve">zuweisen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falls Kombination von entzündungshemmender Therapie und SSRI unumgänglich </w:t>
      </w:r>
      <w:proofErr w:type="spellStart"/>
      <w:r w:rsidRPr="004304C5">
        <w:t>Coxibe</w:t>
      </w:r>
      <w:proofErr w:type="spellEnd"/>
      <w:r w:rsidRPr="004304C5">
        <w:t xml:space="preserve"> anstelle von NSAR einsetzen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nach </w:t>
      </w:r>
      <w:proofErr w:type="spellStart"/>
      <w:r w:rsidRPr="004304C5">
        <w:t>Blu</w:t>
      </w:r>
      <w:r w:rsidRPr="004304C5">
        <w:softHyphen/>
        <w:t>tungsereignis</w:t>
      </w:r>
      <w:proofErr w:type="spellEnd"/>
      <w:r w:rsidRPr="004304C5">
        <w:t xml:space="preserve"> unter SSRI-Monotherapie hämatologische Untersuchung auf eine Gerinnungsstörung durchführen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Blutungen unter SSRI </w:t>
      </w:r>
      <w:r w:rsidRPr="004304C5">
        <w:sym w:font="Wingdings" w:char="F0E8"/>
      </w:r>
      <w:r w:rsidRPr="004304C5">
        <w:t xml:space="preserve"> schwere AMSP UAW </w:t>
      </w:r>
    </w:p>
    <w:p w:rsidR="001E34C9" w:rsidRPr="004304C5" w:rsidRDefault="001E34C9" w:rsidP="004304C5"/>
    <w:p w:rsidR="001E34C9" w:rsidRPr="004304C5" w:rsidRDefault="001E34C9" w:rsidP="004304C5">
      <w:pPr>
        <w:rPr>
          <w:color w:val="808080" w:themeColor="background1" w:themeShade="80"/>
        </w:rPr>
      </w:pPr>
      <w:r w:rsidRPr="004304C5">
        <w:rPr>
          <w:b/>
        </w:rPr>
        <w:t>UAW Dokumentation</w:t>
      </w:r>
      <w:r w:rsidRPr="004304C5">
        <w:t xml:space="preserve"> – </w:t>
      </w:r>
      <w:r w:rsidRPr="004304C5">
        <w:rPr>
          <w:b/>
          <w:color w:val="808080" w:themeColor="background1" w:themeShade="80"/>
        </w:rPr>
        <w:t>ÖAMSP Projekt</w:t>
      </w:r>
      <w:r>
        <w:rPr>
          <w:b/>
          <w:color w:val="808080" w:themeColor="background1" w:themeShade="80"/>
        </w:rPr>
        <w:br/>
      </w:r>
      <w:r w:rsidRPr="004304C5">
        <w:t>AMSP-Formular je UAW Fall ausfüllen und mit fortlaufender Nr. abspeichern auf</w:t>
      </w:r>
      <w:r>
        <w:br/>
      </w:r>
      <w:r w:rsidRPr="004304C5">
        <w:rPr>
          <w:color w:val="808080" w:themeColor="background1" w:themeShade="80"/>
        </w:rPr>
        <w:sym w:font="Wingdings" w:char="F0E8"/>
      </w:r>
      <w:r w:rsidRPr="004304C5">
        <w:rPr>
          <w:color w:val="808080" w:themeColor="background1" w:themeShade="80"/>
        </w:rPr>
        <w:t xml:space="preserve"> Laufwerk Psychiatrie$ auf „</w:t>
      </w:r>
      <w:proofErr w:type="spellStart"/>
      <w:r w:rsidRPr="004304C5">
        <w:rPr>
          <w:color w:val="808080" w:themeColor="background1" w:themeShade="80"/>
        </w:rPr>
        <w:t>wkhifs01</w:t>
      </w:r>
      <w:proofErr w:type="spellEnd"/>
      <w:r w:rsidRPr="004304C5">
        <w:rPr>
          <w:color w:val="808080" w:themeColor="background1" w:themeShade="80"/>
        </w:rPr>
        <w:t>“ \ Bibliothek \ AMSP \ aktuelle Fälle \ Station</w:t>
      </w:r>
    </w:p>
    <w:p w:rsidR="001E34C9" w:rsidRPr="004304C5" w:rsidRDefault="001E34C9" w:rsidP="004304C5"/>
    <w:p w:rsidR="001E34C9" w:rsidRPr="004304C5" w:rsidRDefault="001E34C9" w:rsidP="004304C5">
      <w:pPr>
        <w:pStyle w:val="berschrift3"/>
      </w:pPr>
      <w:r w:rsidRPr="004304C5">
        <w:t xml:space="preserve">Risiko für Hyponatriämie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1 in 200 Patienten / Jahr, meist binnen 3 Wochen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Inzidenz 4,7 – 6,3 / 1000 Patientenjahre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Auftreten median 13,5 (Range 4 -64)Tage nach Therapiebeginn </w:t>
      </w:r>
    </w:p>
    <w:p w:rsidR="001E34C9" w:rsidRPr="004304C5" w:rsidRDefault="001E34C9" w:rsidP="004304C5">
      <w:pPr>
        <w:pStyle w:val="berschrift3"/>
        <w:rPr>
          <w:rFonts w:cstheme="minorBidi"/>
        </w:rPr>
      </w:pPr>
      <w:r w:rsidRPr="004304C5">
        <w:t>Risikofaktoren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Risikofaktoren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weibliches Geschlecht (BMI!)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proofErr w:type="spellStart"/>
      <w:r w:rsidRPr="004304C5">
        <w:t>niederige</w:t>
      </w:r>
      <w:proofErr w:type="spellEnd"/>
      <w:r w:rsidRPr="004304C5">
        <w:t xml:space="preserve"> Na+ Werte vor Therapiebeginn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Alter</w:t>
      </w:r>
    </w:p>
    <w:p w:rsidR="001E34C9" w:rsidRPr="004304C5" w:rsidRDefault="001E34C9" w:rsidP="004304C5">
      <w:pPr>
        <w:pStyle w:val="berschrift3"/>
        <w:rPr>
          <w:rFonts w:cstheme="minorBidi"/>
        </w:rPr>
      </w:pPr>
      <w:r w:rsidRPr="004304C5">
        <w:t>Maßnahmen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Na+ Kontrollen vor E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regelmäßige Na+ Kontrollen ambulant</w:t>
      </w:r>
    </w:p>
    <w:p w:rsidR="001E34C9" w:rsidRPr="004304C5" w:rsidRDefault="001E34C9" w:rsidP="004304C5">
      <w:pPr>
        <w:pStyle w:val="berschrift3"/>
      </w:pPr>
      <w:r w:rsidRPr="004304C5">
        <w:t xml:space="preserve">SSRI und Knochendichte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reduzierte Knochendichte 3,9 – 5 ,9% unter SSRI bei älteren Männern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nicht unter </w:t>
      </w:r>
      <w:proofErr w:type="spellStart"/>
      <w:r w:rsidRPr="004304C5">
        <w:t>Trazodon</w:t>
      </w:r>
      <w:proofErr w:type="spellEnd"/>
      <w:r w:rsidRPr="004304C5">
        <w:t xml:space="preserve"> oder TZA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erhöhte Frakturrate bei Pat. &gt; </w:t>
      </w:r>
      <w:proofErr w:type="spellStart"/>
      <w:r w:rsidRPr="004304C5">
        <w:t>50a</w:t>
      </w:r>
      <w:proofErr w:type="spellEnd"/>
      <w:r w:rsidRPr="004304C5">
        <w:t xml:space="preserve"> OR = 2,2 </w:t>
      </w:r>
    </w:p>
    <w:p w:rsidR="001E34C9" w:rsidRPr="004304C5" w:rsidRDefault="001E34C9" w:rsidP="004304C5">
      <w:pPr>
        <w:pStyle w:val="berschrift3"/>
        <w:rPr>
          <w:rFonts w:cstheme="minorBidi"/>
        </w:rPr>
      </w:pPr>
      <w:r w:rsidRPr="004304C5">
        <w:t>Maßnahmen</w:t>
      </w:r>
      <w:r w:rsidRPr="004304C5">
        <w:rPr>
          <w:rFonts w:cstheme="minorBidi"/>
        </w:rPr>
        <w:t xml:space="preserve">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bei Risikopatienten ev. Knochendichtemessung vor Beginn einer Langzeittherapie</w:t>
      </w:r>
    </w:p>
    <w:p w:rsidR="001E34C9" w:rsidRPr="004304C5" w:rsidRDefault="001E34C9" w:rsidP="004304C5"/>
    <w:p w:rsidR="001E34C9" w:rsidRPr="004304C5" w:rsidRDefault="001E34C9" w:rsidP="004304C5"/>
    <w:p w:rsidR="001E34C9" w:rsidRPr="004304C5" w:rsidRDefault="001E34C9" w:rsidP="004304C5"/>
    <w:p w:rsidR="001E34C9" w:rsidRPr="004304C5" w:rsidRDefault="001E34C9" w:rsidP="004304C5"/>
    <w:p w:rsidR="001E34C9" w:rsidRPr="004304C5" w:rsidRDefault="001E34C9" w:rsidP="004304C5">
      <w:pPr>
        <w:pStyle w:val="berschrift3"/>
      </w:pPr>
      <w:r w:rsidRPr="004304C5">
        <w:lastRenderedPageBreak/>
        <w:t>SSRI und Herzrhythmusstörungen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Dosis abhängig erhöhtes Risiko für </w:t>
      </w:r>
      <w:proofErr w:type="spellStart"/>
      <w:r w:rsidRPr="004304C5">
        <w:t>Torsade</w:t>
      </w:r>
      <w:proofErr w:type="spellEnd"/>
      <w:r w:rsidRPr="004304C5">
        <w:t xml:space="preserve"> de </w:t>
      </w:r>
      <w:proofErr w:type="spellStart"/>
      <w:r w:rsidRPr="004304C5">
        <w:t>Pointes</w:t>
      </w:r>
      <w:proofErr w:type="spellEnd"/>
      <w:r w:rsidRPr="004304C5">
        <w:t xml:space="preserve"> Arrhythmie unter Citalopram bei Patienten mit kongenitalen </w:t>
      </w:r>
      <w:proofErr w:type="spellStart"/>
      <w:r w:rsidRPr="004304C5">
        <w:t>long</w:t>
      </w:r>
      <w:proofErr w:type="spellEnd"/>
      <w:r w:rsidRPr="004304C5">
        <w:t xml:space="preserve">-QT Syndrom, angeborenen Herzfehlern, </w:t>
      </w:r>
      <w:proofErr w:type="spellStart"/>
      <w:r w:rsidRPr="004304C5">
        <w:t>Bradyarrhythmie</w:t>
      </w:r>
      <w:proofErr w:type="spellEnd"/>
      <w:r w:rsidRPr="004304C5">
        <w:t xml:space="preserve">, Prädisposition für </w:t>
      </w:r>
      <w:proofErr w:type="spellStart"/>
      <w:r w:rsidRPr="004304C5">
        <w:t>Hypokaliämie</w:t>
      </w:r>
      <w:proofErr w:type="spellEnd"/>
      <w:r w:rsidRPr="004304C5">
        <w:t xml:space="preserve"> oder </w:t>
      </w:r>
      <w:proofErr w:type="spellStart"/>
      <w:r w:rsidRPr="004304C5">
        <w:t>Hypomagnesiämie</w:t>
      </w:r>
      <w:proofErr w:type="spellEnd"/>
    </w:p>
    <w:p w:rsidR="001E34C9" w:rsidRPr="004304C5" w:rsidRDefault="001E34C9" w:rsidP="004304C5">
      <w:pPr>
        <w:pStyle w:val="berschrift3"/>
        <w:rPr>
          <w:rFonts w:cstheme="minorBidi"/>
        </w:rPr>
      </w:pPr>
      <w:r w:rsidRPr="004304C5">
        <w:t>Maßnahmen</w:t>
      </w:r>
      <w:r w:rsidRPr="004304C5">
        <w:rPr>
          <w:rFonts w:cstheme="minorBidi"/>
        </w:rPr>
        <w:t xml:space="preserve">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EKG-Kontrollen vor / bei Tagesdosis über 40 mg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Bei älteren Patienten Dosis nicht über 40 mg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>CAVE Kombination mit QT-verlängernden Medikamenten</w:t>
      </w:r>
    </w:p>
    <w:p w:rsidR="001E34C9" w:rsidRPr="004304C5" w:rsidRDefault="001E34C9" w:rsidP="004304C5"/>
    <w:p w:rsidR="001E34C9" w:rsidRPr="004304C5" w:rsidRDefault="001E34C9" w:rsidP="004304C5">
      <w:pPr>
        <w:pStyle w:val="berschrift3"/>
      </w:pPr>
      <w:r w:rsidRPr="004304C5">
        <w:t>SSRI und Tamoxifen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30 % aller Tamoxifen-Patientinnen erhalten antidepressive Therapie. Unter Tamoxifen – </w:t>
      </w:r>
      <w:proofErr w:type="spellStart"/>
      <w:r w:rsidRPr="004304C5">
        <w:t>Paroxetin</w:t>
      </w:r>
      <w:proofErr w:type="spellEnd"/>
      <w:r w:rsidRPr="004304C5">
        <w:t xml:space="preserve"> Kombination kommt es, abhängig von der Behandlungsdauer, zu erhöhter Sterblichkeit an Brustkrebs.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proofErr w:type="spellStart"/>
      <w:r w:rsidRPr="004304C5">
        <w:t>pharmakokinetische</w:t>
      </w:r>
      <w:proofErr w:type="spellEnd"/>
      <w:r w:rsidRPr="004304C5">
        <w:t xml:space="preserve"> Interaktion zwischen Tamoxifen und SSRI mit CYP </w:t>
      </w:r>
      <w:proofErr w:type="spellStart"/>
      <w:r w:rsidRPr="004304C5">
        <w:t>2D6</w:t>
      </w:r>
      <w:proofErr w:type="spellEnd"/>
      <w:r w:rsidRPr="004304C5">
        <w:t xml:space="preserve"> Inhibition. Die </w:t>
      </w:r>
      <w:proofErr w:type="spellStart"/>
      <w:r w:rsidRPr="004304C5">
        <w:t>Prodrug</w:t>
      </w:r>
      <w:proofErr w:type="spellEnd"/>
      <w:r w:rsidRPr="004304C5">
        <w:t xml:space="preserve"> Tamoxifen wird durch CYP </w:t>
      </w:r>
      <w:proofErr w:type="spellStart"/>
      <w:r w:rsidRPr="004304C5">
        <w:t>2D6</w:t>
      </w:r>
      <w:proofErr w:type="spellEnd"/>
      <w:r w:rsidRPr="004304C5">
        <w:t xml:space="preserve"> in die Wirksubstanz </w:t>
      </w:r>
      <w:proofErr w:type="spellStart"/>
      <w:r w:rsidRPr="004304C5">
        <w:t>Endoxifen</w:t>
      </w:r>
      <w:proofErr w:type="spellEnd"/>
      <w:r w:rsidRPr="004304C5">
        <w:t xml:space="preserve"> </w:t>
      </w:r>
      <w:proofErr w:type="spellStart"/>
      <w:r w:rsidRPr="004304C5">
        <w:t>metabolisiert</w:t>
      </w:r>
      <w:proofErr w:type="spellEnd"/>
      <w:r w:rsidRPr="004304C5">
        <w:t xml:space="preserve">. CYP </w:t>
      </w:r>
      <w:proofErr w:type="spellStart"/>
      <w:r w:rsidRPr="004304C5">
        <w:t>2D6</w:t>
      </w:r>
      <w:proofErr w:type="spellEnd"/>
      <w:r w:rsidRPr="004304C5">
        <w:t xml:space="preserve"> Inhibitoren wie </w:t>
      </w:r>
      <w:proofErr w:type="spellStart"/>
      <w:r w:rsidRPr="004304C5">
        <w:t>Paroxetin</w:t>
      </w:r>
      <w:proofErr w:type="spellEnd"/>
      <w:r w:rsidRPr="004304C5">
        <w:t xml:space="preserve"> (irreversibler Inhibitor!</w:t>
      </w:r>
      <w:proofErr w:type="gramStart"/>
      <w:r w:rsidRPr="004304C5">
        <w:t>) ,</w:t>
      </w:r>
      <w:proofErr w:type="gramEnd"/>
      <w:r w:rsidRPr="004304C5">
        <w:t xml:space="preserve"> </w:t>
      </w:r>
      <w:proofErr w:type="spellStart"/>
      <w:r w:rsidRPr="004304C5">
        <w:t>Fluoxetin</w:t>
      </w:r>
      <w:proofErr w:type="spellEnd"/>
      <w:r w:rsidRPr="004304C5">
        <w:t xml:space="preserve"> und (geringer) </w:t>
      </w:r>
      <w:proofErr w:type="spellStart"/>
      <w:r w:rsidRPr="004304C5">
        <w:t>Sertralin</w:t>
      </w:r>
      <w:proofErr w:type="spellEnd"/>
      <w:r w:rsidRPr="004304C5">
        <w:t xml:space="preserve"> führen zu einer Senkung der </w:t>
      </w:r>
      <w:proofErr w:type="spellStart"/>
      <w:r w:rsidRPr="004304C5">
        <w:t>Endoxifen</w:t>
      </w:r>
      <w:proofErr w:type="spellEnd"/>
      <w:r w:rsidRPr="004304C5">
        <w:t xml:space="preserve"> – Konzentration führen und können die Wirksamkeit der Tamoxifen-Therapie erheblich beeinträchtigen.</w:t>
      </w:r>
      <w:r w:rsidRPr="004304C5">
        <w:br/>
      </w:r>
    </w:p>
    <w:p w:rsidR="001E34C9" w:rsidRPr="004304C5" w:rsidRDefault="001E34C9" w:rsidP="004304C5">
      <w:pPr>
        <w:pStyle w:val="berschrift3"/>
      </w:pPr>
      <w:r w:rsidRPr="004304C5">
        <w:t xml:space="preserve">Maßnahmen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keine AD mit CYP </w:t>
      </w:r>
      <w:proofErr w:type="spellStart"/>
      <w:r w:rsidRPr="004304C5">
        <w:t>2D6</w:t>
      </w:r>
      <w:proofErr w:type="spellEnd"/>
      <w:r w:rsidRPr="004304C5">
        <w:t xml:space="preserve"> Inhibition bei Tamoxifen Therapie !  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falls SSRI unbedingt nötig: </w:t>
      </w:r>
      <w:proofErr w:type="spellStart"/>
      <w:r w:rsidRPr="004304C5">
        <w:t>Escitalopram</w:t>
      </w:r>
      <w:proofErr w:type="spellEnd"/>
      <w:r w:rsidRPr="004304C5">
        <w:t xml:space="preserve">, (Reserve: </w:t>
      </w:r>
      <w:proofErr w:type="spellStart"/>
      <w:r w:rsidRPr="004304C5">
        <w:t>Fluvoxamin</w:t>
      </w:r>
      <w:proofErr w:type="spellEnd"/>
      <w:r w:rsidRPr="004304C5">
        <w:t xml:space="preserve">) </w:t>
      </w:r>
    </w:p>
    <w:p w:rsidR="001E34C9" w:rsidRPr="004304C5" w:rsidRDefault="001E34C9" w:rsidP="001E34C9">
      <w:pPr>
        <w:pStyle w:val="Listenabsatz"/>
        <w:numPr>
          <w:ilvl w:val="0"/>
          <w:numId w:val="10"/>
        </w:numPr>
      </w:pPr>
      <w:r w:rsidRPr="004304C5">
        <w:t xml:space="preserve">Alternative: </w:t>
      </w:r>
      <w:proofErr w:type="spellStart"/>
      <w:r w:rsidRPr="004304C5">
        <w:t>Venlafaxin</w:t>
      </w:r>
      <w:proofErr w:type="spellEnd"/>
    </w:p>
    <w:p w:rsidR="001E34C9" w:rsidRPr="004304C5" w:rsidRDefault="001E34C9" w:rsidP="004304C5">
      <w:pPr>
        <w:rPr>
          <w:color w:val="808080" w:themeColor="background1" w:themeShade="80"/>
        </w:rPr>
      </w:pPr>
      <w:r w:rsidRPr="004304C5">
        <w:rPr>
          <w:color w:val="808080" w:themeColor="background1" w:themeShade="80"/>
          <w:lang w:val="en-US"/>
        </w:rPr>
        <w:t xml:space="preserve">Kelly CM et al: Selective serotonin reuptake inhibitors and breast cancer mortality in women receiving tamoxifen: a population based cohort study. </w:t>
      </w:r>
      <w:r w:rsidRPr="004304C5">
        <w:rPr>
          <w:color w:val="808080" w:themeColor="background1" w:themeShade="80"/>
        </w:rPr>
        <w:t>BMJ. 2010 Feb 8;340:.</w:t>
      </w:r>
    </w:p>
    <w:p w:rsidR="001E34C9" w:rsidRPr="004304C5" w:rsidRDefault="001E34C9" w:rsidP="004304C5">
      <w:pPr>
        <w:pStyle w:val="berschrift2"/>
      </w:pPr>
      <w:r w:rsidRPr="004304C5">
        <w:rPr>
          <w:rFonts w:cstheme="minorBidi"/>
        </w:rPr>
        <w:br w:type="page"/>
      </w:r>
      <w:bookmarkStart w:id="3" w:name="_Toc273764941"/>
      <w:bookmarkStart w:id="4" w:name="_Toc380321138"/>
      <w:r w:rsidRPr="004304C5">
        <w:lastRenderedPageBreak/>
        <w:t>Antidepressiva und Thrombozyten</w:t>
      </w:r>
      <w:bookmarkEnd w:id="3"/>
      <w:bookmarkEnd w:id="4"/>
    </w:p>
    <w:p w:rsidR="001E34C9" w:rsidRPr="004304C5" w:rsidRDefault="001E34C9" w:rsidP="004304C5">
      <w:r w:rsidRPr="004304C5">
        <w:t xml:space="preserve">Antidepressiva (AD) können die Funktion der Thrombozyten beeinflussen. Dies gilt vor allem für Medikamente mit Serotonin – Wiederaufnahme hemmenden Eigenschaften wie den Selektiven Serotonin </w:t>
      </w:r>
      <w:proofErr w:type="spellStart"/>
      <w:r w:rsidRPr="004304C5">
        <w:t>Reuptake</w:t>
      </w:r>
      <w:proofErr w:type="spellEnd"/>
      <w:r w:rsidRPr="004304C5">
        <w:t xml:space="preserve"> Inhibitoren (SSRI), einigen </w:t>
      </w:r>
      <w:proofErr w:type="spellStart"/>
      <w:r w:rsidRPr="004304C5">
        <w:t>trizyklischen</w:t>
      </w:r>
      <w:proofErr w:type="spellEnd"/>
      <w:r w:rsidRPr="004304C5">
        <w:t xml:space="preserve"> AD (TZA) aber auch dualen AD wie </w:t>
      </w:r>
      <w:proofErr w:type="spellStart"/>
      <w:r w:rsidRPr="004304C5">
        <w:t>Venlafaxin</w:t>
      </w:r>
      <w:proofErr w:type="spellEnd"/>
      <w:r w:rsidRPr="004304C5">
        <w:t>.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112"/>
        <w:gridCol w:w="6136"/>
      </w:tblGrid>
      <w:tr w:rsidR="001E34C9" w:rsidRPr="00C224F9" w:rsidTr="00BE1732">
        <w:trPr>
          <w:trHeight w:val="102"/>
        </w:trPr>
        <w:tc>
          <w:tcPr>
            <w:tcW w:w="5000" w:type="pct"/>
            <w:gridSpan w:val="2"/>
            <w:shd w:val="pct5" w:color="000000" w:fill="FFFFFF"/>
          </w:tcPr>
          <w:p w:rsidR="001E34C9" w:rsidRPr="004304C5" w:rsidRDefault="001E34C9" w:rsidP="004304C5">
            <w:pPr>
              <w:rPr>
                <w:b/>
              </w:rPr>
            </w:pPr>
            <w:r w:rsidRPr="004304C5">
              <w:rPr>
                <w:b/>
                <w:color w:val="808080" w:themeColor="background1" w:themeShade="80"/>
              </w:rPr>
              <w:t xml:space="preserve">Affinität zum Serotonintransporter </w:t>
            </w:r>
          </w:p>
        </w:tc>
      </w:tr>
      <w:tr w:rsidR="001E34C9" w:rsidRPr="00C224F9" w:rsidTr="00BE1732">
        <w:trPr>
          <w:trHeight w:val="95"/>
        </w:trPr>
        <w:tc>
          <w:tcPr>
            <w:tcW w:w="767" w:type="pct"/>
            <w:shd w:val="pct20" w:color="000000" w:fill="FFFFFF"/>
          </w:tcPr>
          <w:p w:rsidR="001E34C9" w:rsidRPr="004304C5" w:rsidRDefault="001E34C9" w:rsidP="004304C5">
            <w:r w:rsidRPr="004304C5">
              <w:t>Hoch</w:t>
            </w:r>
          </w:p>
        </w:tc>
        <w:tc>
          <w:tcPr>
            <w:tcW w:w="4233" w:type="pct"/>
            <w:shd w:val="pct20" w:color="000000" w:fill="FFFFFF"/>
          </w:tcPr>
          <w:p w:rsidR="001E34C9" w:rsidRPr="004304C5" w:rsidRDefault="001E34C9" w:rsidP="004304C5">
            <w:proofErr w:type="spellStart"/>
            <w:r w:rsidRPr="004304C5">
              <w:t>Fluoxetin</w:t>
            </w:r>
            <w:proofErr w:type="spellEnd"/>
            <w:r w:rsidRPr="004304C5">
              <w:t xml:space="preserve">, </w:t>
            </w:r>
            <w:proofErr w:type="spellStart"/>
            <w:r w:rsidRPr="004304C5">
              <w:t>Sertralin</w:t>
            </w:r>
            <w:proofErr w:type="spellEnd"/>
            <w:r w:rsidRPr="004304C5">
              <w:t xml:space="preserve">, </w:t>
            </w:r>
            <w:proofErr w:type="spellStart"/>
            <w:r w:rsidRPr="004304C5">
              <w:t>Paroxetin</w:t>
            </w:r>
            <w:proofErr w:type="spellEnd"/>
            <w:r w:rsidRPr="004304C5">
              <w:t xml:space="preserve">, </w:t>
            </w:r>
            <w:proofErr w:type="spellStart"/>
            <w:r w:rsidRPr="004304C5">
              <w:t>Clomipramin</w:t>
            </w:r>
            <w:proofErr w:type="spellEnd"/>
          </w:p>
        </w:tc>
      </w:tr>
      <w:tr w:rsidR="001E34C9" w:rsidRPr="00C224F9" w:rsidTr="00BE1732">
        <w:trPr>
          <w:trHeight w:val="95"/>
        </w:trPr>
        <w:tc>
          <w:tcPr>
            <w:tcW w:w="767" w:type="pct"/>
            <w:shd w:val="pct5" w:color="000000" w:fill="FFFFFF"/>
          </w:tcPr>
          <w:p w:rsidR="001E34C9" w:rsidRPr="004304C5" w:rsidRDefault="001E34C9" w:rsidP="004304C5">
            <w:r w:rsidRPr="004304C5">
              <w:t>Mittel</w:t>
            </w:r>
          </w:p>
        </w:tc>
        <w:tc>
          <w:tcPr>
            <w:tcW w:w="4233" w:type="pct"/>
            <w:shd w:val="pct5" w:color="000000" w:fill="FFFFFF"/>
          </w:tcPr>
          <w:p w:rsidR="001E34C9" w:rsidRPr="004304C5" w:rsidRDefault="001E34C9" w:rsidP="004304C5">
            <w:proofErr w:type="spellStart"/>
            <w:r w:rsidRPr="004304C5">
              <w:t>Fluvoxamin</w:t>
            </w:r>
            <w:proofErr w:type="spellEnd"/>
            <w:r w:rsidRPr="004304C5">
              <w:t xml:space="preserve">, Citalopram, </w:t>
            </w:r>
            <w:proofErr w:type="spellStart"/>
            <w:r w:rsidRPr="004304C5">
              <w:t>Venlafaxin</w:t>
            </w:r>
            <w:proofErr w:type="spellEnd"/>
            <w:r w:rsidRPr="004304C5">
              <w:t xml:space="preserve">, </w:t>
            </w:r>
            <w:proofErr w:type="spellStart"/>
            <w:r w:rsidRPr="004304C5">
              <w:t>Amitriptylin</w:t>
            </w:r>
            <w:proofErr w:type="spellEnd"/>
            <w:r w:rsidRPr="004304C5">
              <w:t xml:space="preserve">, </w:t>
            </w:r>
            <w:proofErr w:type="spellStart"/>
            <w:r w:rsidRPr="004304C5">
              <w:t>Imipramin</w:t>
            </w:r>
            <w:proofErr w:type="spellEnd"/>
          </w:p>
        </w:tc>
      </w:tr>
      <w:tr w:rsidR="001E34C9" w:rsidRPr="007848F1" w:rsidTr="00BE1732">
        <w:trPr>
          <w:trHeight w:val="95"/>
        </w:trPr>
        <w:tc>
          <w:tcPr>
            <w:tcW w:w="767" w:type="pct"/>
            <w:shd w:val="pct20" w:color="000000" w:fill="FFFFFF"/>
          </w:tcPr>
          <w:p w:rsidR="001E34C9" w:rsidRPr="004304C5" w:rsidRDefault="001E34C9" w:rsidP="004304C5">
            <w:r w:rsidRPr="004304C5">
              <w:t>Niedrig</w:t>
            </w:r>
          </w:p>
        </w:tc>
        <w:tc>
          <w:tcPr>
            <w:tcW w:w="4233" w:type="pct"/>
            <w:shd w:val="pct20" w:color="000000" w:fill="FFFFFF"/>
          </w:tcPr>
          <w:p w:rsidR="001E34C9" w:rsidRPr="00E8391B" w:rsidRDefault="001E34C9" w:rsidP="004304C5">
            <w:pPr>
              <w:rPr>
                <w:lang w:val="en-US"/>
              </w:rPr>
            </w:pPr>
            <w:proofErr w:type="spellStart"/>
            <w:r w:rsidRPr="00E8391B">
              <w:rPr>
                <w:lang w:val="en-US"/>
              </w:rPr>
              <w:t>Mirtazapin</w:t>
            </w:r>
            <w:proofErr w:type="spellEnd"/>
            <w:r w:rsidRPr="00E8391B">
              <w:rPr>
                <w:lang w:val="en-US"/>
              </w:rPr>
              <w:t xml:space="preserve">, Bupropion, Doxepin, </w:t>
            </w:r>
            <w:proofErr w:type="spellStart"/>
            <w:r w:rsidRPr="00E8391B">
              <w:rPr>
                <w:lang w:val="en-US"/>
              </w:rPr>
              <w:t>Moclobemid</w:t>
            </w:r>
            <w:proofErr w:type="spellEnd"/>
            <w:r w:rsidRPr="00E8391B">
              <w:rPr>
                <w:lang w:val="en-US"/>
              </w:rPr>
              <w:t xml:space="preserve">, </w:t>
            </w:r>
            <w:proofErr w:type="spellStart"/>
            <w:r w:rsidRPr="00E8391B">
              <w:rPr>
                <w:lang w:val="en-US"/>
              </w:rPr>
              <w:t>Nefazodon</w:t>
            </w:r>
            <w:proofErr w:type="spellEnd"/>
            <w:r w:rsidRPr="00E8391B">
              <w:rPr>
                <w:lang w:val="en-US"/>
              </w:rPr>
              <w:t xml:space="preserve">, </w:t>
            </w:r>
            <w:proofErr w:type="spellStart"/>
            <w:r w:rsidRPr="00E8391B">
              <w:rPr>
                <w:lang w:val="en-US"/>
              </w:rPr>
              <w:t>Maprotilin</w:t>
            </w:r>
            <w:proofErr w:type="spellEnd"/>
          </w:p>
        </w:tc>
      </w:tr>
    </w:tbl>
    <w:p w:rsidR="001E34C9" w:rsidRPr="004304C5" w:rsidRDefault="001E34C9" w:rsidP="004304C5">
      <w:r w:rsidRPr="007848F1">
        <w:br/>
      </w:r>
      <w:r w:rsidRPr="004304C5">
        <w:t xml:space="preserve">Das in den </w:t>
      </w:r>
      <w:proofErr w:type="spellStart"/>
      <w:r w:rsidRPr="004304C5">
        <w:t>enterochromaffinen</w:t>
      </w:r>
      <w:proofErr w:type="spellEnd"/>
      <w:r w:rsidRPr="004304C5">
        <w:t xml:space="preserve"> Zellen des Gastrointestinal (GI) – Traktes synthetisierte Serotonin (5HT) ist zu über 99% in Thrombo</w:t>
      </w:r>
      <w:r w:rsidRPr="004304C5">
        <w:softHyphen/>
        <w:t xml:space="preserve">zyten gespeichert. Nach einer </w:t>
      </w:r>
      <w:proofErr w:type="spellStart"/>
      <w:r w:rsidRPr="004304C5">
        <w:t>Throm</w:t>
      </w:r>
      <w:r w:rsidRPr="004304C5">
        <w:softHyphen/>
        <w:t>bozytenaktivierung</w:t>
      </w:r>
      <w:proofErr w:type="spellEnd"/>
      <w:r w:rsidRPr="004304C5">
        <w:t xml:space="preserve"> kommt es zur Aus</w:t>
      </w:r>
      <w:r w:rsidRPr="004304C5">
        <w:softHyphen/>
        <w:t xml:space="preserve">schüttung von 5HT, welches über 5HT2A – Rezeptoren auf der </w:t>
      </w:r>
      <w:proofErr w:type="spellStart"/>
      <w:r w:rsidRPr="004304C5">
        <w:t>Thrombozy</w:t>
      </w:r>
      <w:r w:rsidRPr="004304C5">
        <w:softHyphen/>
        <w:t>tenmembran</w:t>
      </w:r>
      <w:proofErr w:type="spellEnd"/>
      <w:r w:rsidRPr="004304C5">
        <w:t xml:space="preserve"> weitere Thrombozyten stimuliert. Selbst nur schwacher </w:t>
      </w:r>
      <w:proofErr w:type="spellStart"/>
      <w:r w:rsidRPr="004304C5">
        <w:t>Thrombozytenakti</w:t>
      </w:r>
      <w:r w:rsidRPr="004304C5">
        <w:softHyphen/>
        <w:t>vator</w:t>
      </w:r>
      <w:proofErr w:type="spellEnd"/>
      <w:r w:rsidRPr="004304C5">
        <w:t>, poten</w:t>
      </w:r>
      <w:r w:rsidRPr="004304C5">
        <w:softHyphen/>
        <w:t>ziert 5HT die von anderen Faktoren (</w:t>
      </w:r>
      <w:proofErr w:type="spellStart"/>
      <w:r w:rsidRPr="004304C5">
        <w:t>Adenosin</w:t>
      </w:r>
      <w:r w:rsidRPr="004304C5">
        <w:softHyphen/>
        <w:t>diphosphat</w:t>
      </w:r>
      <w:proofErr w:type="spellEnd"/>
      <w:r w:rsidRPr="004304C5">
        <w:t xml:space="preserve">, </w:t>
      </w:r>
      <w:proofErr w:type="spellStart"/>
      <w:r w:rsidRPr="004304C5">
        <w:t>Thrombin</w:t>
      </w:r>
      <w:proofErr w:type="spellEnd"/>
      <w:r w:rsidRPr="004304C5">
        <w:t>, Adrenalin, Kollagen) ver</w:t>
      </w:r>
      <w:r w:rsidRPr="004304C5">
        <w:softHyphen/>
        <w:t xml:space="preserve">mittelte </w:t>
      </w:r>
      <w:proofErr w:type="spellStart"/>
      <w:r w:rsidRPr="004304C5">
        <w:t>Thrombozytenaktivierung</w:t>
      </w:r>
      <w:proofErr w:type="spellEnd"/>
      <w:r w:rsidRPr="004304C5">
        <w:t xml:space="preserve">. </w:t>
      </w:r>
    </w:p>
    <w:p w:rsidR="001E34C9" w:rsidRPr="004304C5" w:rsidRDefault="001E34C9" w:rsidP="004304C5">
      <w:r w:rsidRPr="004304C5">
        <w:t>SSRIs führen zu einer langsamen  5HT-</w:t>
      </w:r>
      <w:proofErr w:type="spellStart"/>
      <w:r w:rsidRPr="004304C5">
        <w:t>Depletion</w:t>
      </w:r>
      <w:proofErr w:type="spellEnd"/>
      <w:r w:rsidRPr="004304C5">
        <w:t xml:space="preserve"> in Thrombozyten, dadurch kommt es zu verminderter Ausschüttung von 5HT nach </w:t>
      </w:r>
      <w:proofErr w:type="spellStart"/>
      <w:r w:rsidRPr="004304C5">
        <w:t>Thrombozytenaktivierung</w:t>
      </w:r>
      <w:proofErr w:type="spellEnd"/>
      <w:r w:rsidRPr="004304C5">
        <w:t xml:space="preserve"> mit konsekutiv verminderter </w:t>
      </w:r>
      <w:proofErr w:type="spellStart"/>
      <w:r w:rsidRPr="004304C5">
        <w:t>Thrombozytenaggregation</w:t>
      </w:r>
      <w:proofErr w:type="spellEnd"/>
      <w:r w:rsidRPr="004304C5">
        <w:t xml:space="preserve">. </w:t>
      </w:r>
    </w:p>
    <w:p w:rsidR="001E34C9" w:rsidRPr="004304C5" w:rsidRDefault="001E34C9" w:rsidP="004304C5">
      <w:r w:rsidRPr="004304C5">
        <w:t>Das Blutungsrisiko unter neuen AD mit zumindest parti</w:t>
      </w:r>
      <w:bookmarkStart w:id="5" w:name="_GoBack"/>
      <w:bookmarkEnd w:id="5"/>
      <w:r w:rsidRPr="004304C5">
        <w:t>ell hemmender Wirkung auf die 5HT - Wiederauf</w:t>
      </w:r>
      <w:r w:rsidRPr="004304C5">
        <w:softHyphen/>
        <w:t xml:space="preserve">nahme ist ebenfalls erhöht, beim SNRI </w:t>
      </w:r>
      <w:proofErr w:type="spellStart"/>
      <w:r w:rsidRPr="004304C5">
        <w:t>Venlafaxin</w:t>
      </w:r>
      <w:proofErr w:type="spellEnd"/>
      <w:r w:rsidRPr="004304C5">
        <w:t xml:space="preserve"> sogar stärker als unter SSRI. Auch für </w:t>
      </w:r>
      <w:proofErr w:type="spellStart"/>
      <w:r w:rsidRPr="004304C5">
        <w:t>Clomipramin</w:t>
      </w:r>
      <w:proofErr w:type="spellEnd"/>
      <w:r w:rsidRPr="004304C5">
        <w:t xml:space="preserve"> (TZA mit hoher Affinität zum 5HT-R) finden sich Hinweise für erhöhtes Blutungsrisiko, wäh</w:t>
      </w:r>
      <w:r w:rsidRPr="004304C5">
        <w:softHyphen/>
        <w:t xml:space="preserve">rend AD mit geringer 5HT </w:t>
      </w:r>
      <w:r w:rsidRPr="004304C5">
        <w:softHyphen/>
        <w:t xml:space="preserve">- Rezeptoraffinität wie </w:t>
      </w:r>
      <w:proofErr w:type="spellStart"/>
      <w:r w:rsidRPr="007848F1">
        <w:rPr>
          <w:color w:val="7F7F7F" w:themeColor="text1" w:themeTint="80"/>
        </w:rPr>
        <w:t>Nefazodon</w:t>
      </w:r>
      <w:proofErr w:type="spellEnd"/>
      <w:r w:rsidRPr="007848F1">
        <w:rPr>
          <w:color w:val="7F7F7F" w:themeColor="text1" w:themeTint="80"/>
        </w:rPr>
        <w:t>,</w:t>
      </w:r>
      <w:r w:rsidRPr="004304C5">
        <w:t xml:space="preserve"> </w:t>
      </w:r>
      <w:proofErr w:type="spellStart"/>
      <w:r w:rsidRPr="004304C5">
        <w:t>Mirtazapin</w:t>
      </w:r>
      <w:proofErr w:type="spellEnd"/>
      <w:r w:rsidRPr="004304C5">
        <w:t xml:space="preserve"> oder </w:t>
      </w:r>
      <w:proofErr w:type="spellStart"/>
      <w:r w:rsidRPr="004304C5">
        <w:t>Maprotilin</w:t>
      </w:r>
      <w:proofErr w:type="spellEnd"/>
      <w:r w:rsidRPr="004304C5">
        <w:t xml:space="preserve"> keine gestei</w:t>
      </w:r>
      <w:r w:rsidRPr="004304C5">
        <w:softHyphen/>
        <w:t>gerte Blutungsneigung bewirken</w:t>
      </w:r>
    </w:p>
    <w:p w:rsidR="001E34C9" w:rsidRPr="004304C5" w:rsidRDefault="001E34C9" w:rsidP="004304C5"/>
    <w:p w:rsidR="001E34C9" w:rsidRPr="004304C5" w:rsidRDefault="001E34C9" w:rsidP="004304C5">
      <w:r w:rsidRPr="004304C5">
        <w:lastRenderedPageBreak/>
        <w:t>Die erhöhte Blutungsneigung unter SSRI sind inner</w:t>
      </w:r>
      <w:r w:rsidRPr="004304C5">
        <w:softHyphen/>
        <w:t>halb der üblicherweise therapeutisch ver</w:t>
      </w:r>
      <w:r w:rsidRPr="004304C5">
        <w:softHyphen/>
        <w:t xml:space="preserve">ordneten Mengen (z. B. </w:t>
      </w:r>
      <w:proofErr w:type="spellStart"/>
      <w:r w:rsidRPr="004304C5">
        <w:t>Fluoxetin</w:t>
      </w:r>
      <w:proofErr w:type="spellEnd"/>
      <w:r w:rsidRPr="004304C5">
        <w:t xml:space="preserve"> 20–60 mg/Tag) nicht dosisabhängig. Bereits bei einer Tagesdosis von 20 mg </w:t>
      </w:r>
      <w:proofErr w:type="spellStart"/>
      <w:r w:rsidRPr="004304C5">
        <w:t>Fluoxetin</w:t>
      </w:r>
      <w:proofErr w:type="spellEnd"/>
      <w:r w:rsidRPr="004304C5">
        <w:t xml:space="preserve"> kommt es zu einer </w:t>
      </w:r>
      <w:proofErr w:type="spellStart"/>
      <w:r w:rsidRPr="004304C5">
        <w:t>88%igen</w:t>
      </w:r>
      <w:proofErr w:type="spellEnd"/>
      <w:r w:rsidRPr="004304C5">
        <w:t xml:space="preserve"> Redukti</w:t>
      </w:r>
      <w:r w:rsidRPr="004304C5">
        <w:softHyphen/>
        <w:t xml:space="preserve">on von 5HT im Thrombozyten. Blutungen treten häufig erst 25 Wochen nach Therapiebeginn auf. </w:t>
      </w:r>
    </w:p>
    <w:p w:rsidR="001E34C9" w:rsidRPr="004304C5" w:rsidRDefault="001E34C9" w:rsidP="004304C5"/>
    <w:p w:rsidR="001E34C9" w:rsidRPr="004304C5" w:rsidRDefault="001E34C9" w:rsidP="004304C5">
      <w:pPr>
        <w:pStyle w:val="berschrift3"/>
      </w:pPr>
      <w:r w:rsidRPr="004304C5">
        <w:t>Risikoraten für Blutungen</w:t>
      </w:r>
    </w:p>
    <w:p w:rsidR="001E34C9" w:rsidRPr="004304C5" w:rsidRDefault="001E34C9" w:rsidP="004304C5">
      <w:r w:rsidRPr="004304C5">
        <w:rPr>
          <w:b/>
        </w:rPr>
        <w:t>SSRI Monotherapie</w:t>
      </w:r>
      <w:r>
        <w:rPr>
          <w:b/>
        </w:rPr>
        <w:br/>
      </w:r>
      <w:r w:rsidRPr="004304C5">
        <w:t>erhöht relatives Risiko für ICB um 1,5 (von 24.6 auf 34.6 / 100,000 Personen/Jahr)</w:t>
      </w:r>
      <w:r>
        <w:br/>
      </w:r>
      <w:r w:rsidRPr="004304C5">
        <w:t>erhöht Risiko für obe</w:t>
      </w:r>
      <w:r w:rsidRPr="004304C5">
        <w:softHyphen/>
        <w:t xml:space="preserve">re GI – Blutung um den Faktor 1,5 bis 3,6, </w:t>
      </w:r>
      <w:r>
        <w:br/>
      </w:r>
      <w:r w:rsidRPr="004304C5">
        <w:t xml:space="preserve">Metaanalyse (vier große Beobachtungsstudien) </w:t>
      </w:r>
      <w:r w:rsidRPr="004304C5">
        <w:sym w:font="Wingdings" w:char="F0E8"/>
      </w:r>
      <w:r w:rsidRPr="004304C5">
        <w:t xml:space="preserve"> OR von 2,4.</w:t>
      </w:r>
      <w:r>
        <w:br/>
      </w:r>
      <w:r w:rsidRPr="004304C5">
        <w:t>NNH (Patientenjahre) 323</w:t>
      </w:r>
      <w:r>
        <w:br/>
      </w:r>
      <w:r w:rsidRPr="004304C5">
        <w:t xml:space="preserve">erhöht Risiko für </w:t>
      </w:r>
      <w:proofErr w:type="spellStart"/>
      <w:r w:rsidRPr="004304C5">
        <w:t>postpartale</w:t>
      </w:r>
      <w:proofErr w:type="spellEnd"/>
      <w:r w:rsidRPr="004304C5">
        <w:t xml:space="preserve"> Blutung gering: OR SSRI: 1,3 (andere AD: 1,1)</w:t>
      </w:r>
    </w:p>
    <w:p w:rsidR="001E34C9" w:rsidRPr="004304C5" w:rsidRDefault="001E34C9" w:rsidP="004304C5">
      <w:r w:rsidRPr="004304C5">
        <w:t>Das klinische Ausmaß der erhöh</w:t>
      </w:r>
      <w:r w:rsidRPr="004304C5">
        <w:softHyphen/>
        <w:t>ten Blutungsneigung unter SSRI ist substanziell. Eine OR von 2,4 entspricht et</w:t>
      </w:r>
      <w:r w:rsidRPr="004304C5">
        <w:softHyphen/>
        <w:t xml:space="preserve">wa 18.000 SSRI – induzierten oberen GI-Blutungen in USA und UK pro Jahr. </w:t>
      </w:r>
    </w:p>
    <w:p w:rsidR="001E34C9" w:rsidRPr="004304C5" w:rsidRDefault="001E34C9" w:rsidP="004304C5">
      <w:r w:rsidRPr="004304C5">
        <w:rPr>
          <w:b/>
        </w:rPr>
        <w:t>SSRI + ASS Kombination</w:t>
      </w:r>
      <w:r w:rsidRPr="004304C5">
        <w:rPr>
          <w:b/>
        </w:rPr>
        <w:br/>
      </w:r>
      <w:r w:rsidRPr="004304C5">
        <w:t>erhöht Risiko für obere GI – Blu</w:t>
      </w:r>
      <w:r w:rsidRPr="004304C5">
        <w:softHyphen/>
        <w:t>tung um den Faktor 5,2 bis 7,2</w:t>
      </w:r>
      <w:proofErr w:type="gramStart"/>
      <w:r w:rsidRPr="004304C5">
        <w:t>.</w:t>
      </w:r>
      <w:proofErr w:type="gramEnd"/>
      <w:r>
        <w:br/>
      </w:r>
      <w:r w:rsidRPr="004304C5">
        <w:t xml:space="preserve">Behandlung mit ASS allein erhöht Risiko um den Faktor 2,5 </w:t>
      </w:r>
    </w:p>
    <w:p w:rsidR="001E34C9" w:rsidRPr="004304C5" w:rsidRDefault="001E34C9" w:rsidP="004304C5">
      <w:r w:rsidRPr="004304C5">
        <w:rPr>
          <w:b/>
        </w:rPr>
        <w:t>SSRI + NSAR Kombination</w:t>
      </w:r>
      <w:r w:rsidRPr="004304C5">
        <w:rPr>
          <w:b/>
        </w:rPr>
        <w:br/>
      </w:r>
      <w:r w:rsidRPr="004304C5">
        <w:t xml:space="preserve">erhöht Risiko für obere GI – Blutung auf relatives Risiko von 2,9 bis 15,6, Metaanalyse </w:t>
      </w:r>
      <w:r w:rsidRPr="004304C5">
        <w:sym w:font="Wingdings" w:char="F0E8"/>
      </w:r>
      <w:r w:rsidRPr="004304C5">
        <w:t xml:space="preserve"> 6,3 </w:t>
      </w:r>
      <w:r>
        <w:br/>
      </w:r>
      <w:r w:rsidRPr="004304C5">
        <w:t>NNH (Patientenjahre) 62</w:t>
      </w:r>
      <w:r>
        <w:br/>
      </w:r>
      <w:r w:rsidRPr="004304C5">
        <w:t>NSAR Monotherapie: OR 3,2</w:t>
      </w:r>
    </w:p>
    <w:p w:rsidR="001E34C9" w:rsidRPr="004304C5" w:rsidRDefault="001E34C9" w:rsidP="004304C5">
      <w:r w:rsidRPr="004304C5">
        <w:t>Vergleicht man die Einnahme unter</w:t>
      </w:r>
      <w:r w:rsidRPr="004304C5">
        <w:softHyphen/>
        <w:t>schiedlicher AD in Kombina</w:t>
      </w:r>
      <w:r w:rsidRPr="004304C5">
        <w:softHyphen/>
        <w:t>tion mit NSAR, so zeigen sich unter SSRI + NSAR 5-mal so häufig GI-UAW wie unter TZA + NSAR.</w:t>
      </w:r>
    </w:p>
    <w:p w:rsidR="001E34C9" w:rsidRPr="004304C5" w:rsidRDefault="001E34C9" w:rsidP="004304C5">
      <w:r w:rsidRPr="004304C5">
        <w:rPr>
          <w:b/>
        </w:rPr>
        <w:t xml:space="preserve">SSRI + </w:t>
      </w:r>
      <w:proofErr w:type="spellStart"/>
      <w:r w:rsidRPr="004304C5">
        <w:rPr>
          <w:b/>
        </w:rPr>
        <w:t>Cumarine</w:t>
      </w:r>
      <w:proofErr w:type="spellEnd"/>
      <w:r>
        <w:rPr>
          <w:b/>
        </w:rPr>
        <w:br/>
      </w:r>
      <w:r w:rsidRPr="004304C5">
        <w:t xml:space="preserve">kein erhöhtes Risiko für GI-Blutungen im Vergleich zu </w:t>
      </w:r>
      <w:proofErr w:type="spellStart"/>
      <w:r w:rsidRPr="004304C5">
        <w:t>Cumarin</w:t>
      </w:r>
      <w:proofErr w:type="spellEnd"/>
      <w:r w:rsidRPr="004304C5">
        <w:t>-Monotherapie</w:t>
      </w:r>
    </w:p>
    <w:p w:rsidR="001E34C9" w:rsidRPr="004304C5" w:rsidRDefault="001E34C9" w:rsidP="004304C5">
      <w:pPr>
        <w:rPr>
          <w:b/>
          <w:color w:val="808080" w:themeColor="background1" w:themeShade="80"/>
        </w:rPr>
      </w:pPr>
      <w:r w:rsidRPr="004304C5">
        <w:rPr>
          <w:b/>
          <w:color w:val="808080" w:themeColor="background1" w:themeShade="80"/>
        </w:rPr>
        <w:lastRenderedPageBreak/>
        <w:t>Assoziation SSRI und Blutung als OR / RR (95%-CI)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470"/>
        <w:gridCol w:w="1018"/>
        <w:gridCol w:w="1563"/>
        <w:gridCol w:w="1584"/>
        <w:gridCol w:w="1613"/>
      </w:tblGrid>
      <w:tr w:rsidR="001E34C9" w:rsidRPr="00CF4E29" w:rsidTr="00CF4E29">
        <w:trPr>
          <w:trHeight w:val="227"/>
        </w:trPr>
        <w:tc>
          <w:tcPr>
            <w:tcW w:w="1014" w:type="pct"/>
            <w:shd w:val="pct5" w:color="000000" w:fill="FFFFFF"/>
          </w:tcPr>
          <w:p w:rsidR="001E34C9" w:rsidRPr="00CF4E29" w:rsidRDefault="001E34C9" w:rsidP="00CF4E29">
            <w:pPr>
              <w:spacing w:after="120"/>
              <w:rPr>
                <w:b/>
              </w:rPr>
            </w:pPr>
            <w:r w:rsidRPr="00CF4E29">
              <w:rPr>
                <w:b/>
              </w:rPr>
              <w:t>Design</w:t>
            </w:r>
          </w:p>
        </w:tc>
        <w:tc>
          <w:tcPr>
            <w:tcW w:w="702" w:type="pct"/>
            <w:shd w:val="pct5" w:color="000000" w:fill="FFFFFF"/>
          </w:tcPr>
          <w:p w:rsidR="001E34C9" w:rsidRPr="00CF4E29" w:rsidRDefault="001E34C9" w:rsidP="00CF4E29">
            <w:pPr>
              <w:spacing w:after="120"/>
              <w:rPr>
                <w:b/>
              </w:rPr>
            </w:pPr>
            <w:r w:rsidRPr="00CF4E29">
              <w:rPr>
                <w:b/>
              </w:rPr>
              <w:t>Fallzahl</w:t>
            </w:r>
          </w:p>
        </w:tc>
        <w:tc>
          <w:tcPr>
            <w:tcW w:w="1078" w:type="pct"/>
            <w:shd w:val="pct5" w:color="000000" w:fill="FFFFFF"/>
          </w:tcPr>
          <w:p w:rsidR="001E34C9" w:rsidRPr="00CF4E29" w:rsidRDefault="001E34C9" w:rsidP="00CF4E29">
            <w:pPr>
              <w:spacing w:after="120"/>
              <w:rPr>
                <w:b/>
              </w:rPr>
            </w:pPr>
            <w:r w:rsidRPr="00CF4E29">
              <w:rPr>
                <w:b/>
              </w:rPr>
              <w:t>SSRI allein</w:t>
            </w:r>
          </w:p>
        </w:tc>
        <w:tc>
          <w:tcPr>
            <w:tcW w:w="1093" w:type="pct"/>
            <w:shd w:val="pct5" w:color="000000" w:fill="FFFFFF"/>
          </w:tcPr>
          <w:p w:rsidR="001E34C9" w:rsidRPr="00CF4E29" w:rsidRDefault="001E34C9" w:rsidP="00CF4E29">
            <w:pPr>
              <w:spacing w:after="120"/>
              <w:rPr>
                <w:b/>
              </w:rPr>
            </w:pPr>
            <w:r w:rsidRPr="00CF4E29">
              <w:rPr>
                <w:b/>
              </w:rPr>
              <w:t>SSRI + NSAR</w:t>
            </w:r>
          </w:p>
        </w:tc>
        <w:tc>
          <w:tcPr>
            <w:tcW w:w="1113" w:type="pct"/>
            <w:shd w:val="pct5" w:color="000000" w:fill="FFFFFF"/>
          </w:tcPr>
          <w:p w:rsidR="001E34C9" w:rsidRPr="00CF4E29" w:rsidRDefault="001E34C9" w:rsidP="00CF4E29">
            <w:pPr>
              <w:spacing w:after="120"/>
              <w:rPr>
                <w:b/>
              </w:rPr>
            </w:pPr>
            <w:r w:rsidRPr="00CF4E29">
              <w:rPr>
                <w:b/>
              </w:rPr>
              <w:t>SSRI + ASS</w:t>
            </w:r>
          </w:p>
        </w:tc>
      </w:tr>
      <w:tr w:rsidR="001E34C9" w:rsidRPr="00C224F9" w:rsidTr="00CF4E29">
        <w:trPr>
          <w:trHeight w:val="227"/>
        </w:trPr>
        <w:tc>
          <w:tcPr>
            <w:tcW w:w="1014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AD Therapie</w:t>
            </w:r>
          </w:p>
        </w:tc>
        <w:tc>
          <w:tcPr>
            <w:tcW w:w="702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26005</w:t>
            </w:r>
          </w:p>
        </w:tc>
        <w:tc>
          <w:tcPr>
            <w:tcW w:w="1078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3,6 (2,7–4,7)</w:t>
            </w:r>
          </w:p>
        </w:tc>
        <w:tc>
          <w:tcPr>
            <w:tcW w:w="109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12,2 (7,1–19,5)</w:t>
            </w:r>
          </w:p>
        </w:tc>
        <w:tc>
          <w:tcPr>
            <w:tcW w:w="111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5,2 (3,2–8,0)</w:t>
            </w:r>
          </w:p>
        </w:tc>
      </w:tr>
      <w:tr w:rsidR="001E34C9" w:rsidRPr="00C224F9" w:rsidTr="00CF4E29">
        <w:trPr>
          <w:trHeight w:val="227"/>
        </w:trPr>
        <w:tc>
          <w:tcPr>
            <w:tcW w:w="1014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GI Blutung</w:t>
            </w:r>
          </w:p>
        </w:tc>
        <w:tc>
          <w:tcPr>
            <w:tcW w:w="702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579</w:t>
            </w:r>
          </w:p>
        </w:tc>
        <w:tc>
          <w:tcPr>
            <w:tcW w:w="1078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1,5 (1,2–2.0)</w:t>
            </w:r>
          </w:p>
        </w:tc>
        <w:tc>
          <w:tcPr>
            <w:tcW w:w="1093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  <w:tc>
          <w:tcPr>
            <w:tcW w:w="1113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</w:tr>
      <w:tr w:rsidR="001E34C9" w:rsidRPr="00C224F9" w:rsidTr="00CF4E29">
        <w:trPr>
          <w:trHeight w:val="227"/>
        </w:trPr>
        <w:tc>
          <w:tcPr>
            <w:tcW w:w="1014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Metaanalyse</w:t>
            </w:r>
          </w:p>
        </w:tc>
        <w:tc>
          <w:tcPr>
            <w:tcW w:w="702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48305</w:t>
            </w:r>
          </w:p>
        </w:tc>
        <w:tc>
          <w:tcPr>
            <w:tcW w:w="1078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2,4 (1,4–3,9)</w:t>
            </w:r>
          </w:p>
        </w:tc>
        <w:tc>
          <w:tcPr>
            <w:tcW w:w="109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6,3 (3,4–11,8)</w:t>
            </w:r>
          </w:p>
        </w:tc>
        <w:tc>
          <w:tcPr>
            <w:tcW w:w="111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</w:tr>
      <w:tr w:rsidR="001E34C9" w:rsidRPr="00C224F9" w:rsidTr="00CF4E29">
        <w:trPr>
          <w:trHeight w:val="227"/>
        </w:trPr>
        <w:tc>
          <w:tcPr>
            <w:tcW w:w="1014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GI Blutung</w:t>
            </w:r>
          </w:p>
        </w:tc>
        <w:tc>
          <w:tcPr>
            <w:tcW w:w="702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1651</w:t>
            </w:r>
          </w:p>
        </w:tc>
        <w:tc>
          <w:tcPr>
            <w:tcW w:w="1078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2,6 (1,7–3,8)</w:t>
            </w:r>
          </w:p>
        </w:tc>
        <w:tc>
          <w:tcPr>
            <w:tcW w:w="1093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15,6 (6,6–36.5)</w:t>
            </w:r>
          </w:p>
        </w:tc>
        <w:tc>
          <w:tcPr>
            <w:tcW w:w="1113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7,2 (3,1–17,1)</w:t>
            </w:r>
          </w:p>
        </w:tc>
      </w:tr>
      <w:tr w:rsidR="001E34C9" w:rsidRPr="00C224F9" w:rsidTr="00CF4E29">
        <w:trPr>
          <w:trHeight w:val="227"/>
        </w:trPr>
        <w:tc>
          <w:tcPr>
            <w:tcW w:w="1014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GI Blutung</w:t>
            </w:r>
          </w:p>
        </w:tc>
        <w:tc>
          <w:tcPr>
            <w:tcW w:w="702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11261</w:t>
            </w:r>
          </w:p>
        </w:tc>
        <w:tc>
          <w:tcPr>
            <w:tcW w:w="1078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2,6 (2,2–3,1)</w:t>
            </w:r>
          </w:p>
        </w:tc>
        <w:tc>
          <w:tcPr>
            <w:tcW w:w="109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2,9 (2,3–3,8)</w:t>
            </w:r>
          </w:p>
        </w:tc>
        <w:tc>
          <w:tcPr>
            <w:tcW w:w="111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</w:tr>
      <w:tr w:rsidR="001E34C9" w:rsidRPr="00C224F9" w:rsidTr="00CF4E29">
        <w:trPr>
          <w:trHeight w:val="227"/>
        </w:trPr>
        <w:tc>
          <w:tcPr>
            <w:tcW w:w="1014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GI Blutung</w:t>
            </w:r>
          </w:p>
        </w:tc>
        <w:tc>
          <w:tcPr>
            <w:tcW w:w="702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2783</w:t>
            </w:r>
          </w:p>
        </w:tc>
        <w:tc>
          <w:tcPr>
            <w:tcW w:w="1078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1,1 (0,8–1,4)</w:t>
            </w:r>
          </w:p>
        </w:tc>
        <w:tc>
          <w:tcPr>
            <w:tcW w:w="1093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  <w:tc>
          <w:tcPr>
            <w:tcW w:w="1113" w:type="pct"/>
            <w:shd w:val="pct5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</w:tr>
      <w:tr w:rsidR="001E34C9" w:rsidRPr="00C224F9" w:rsidTr="00CF4E29">
        <w:trPr>
          <w:trHeight w:val="227"/>
        </w:trPr>
        <w:tc>
          <w:tcPr>
            <w:tcW w:w="1014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GI Blutung</w:t>
            </w:r>
          </w:p>
        </w:tc>
        <w:tc>
          <w:tcPr>
            <w:tcW w:w="702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4028</w:t>
            </w:r>
          </w:p>
        </w:tc>
        <w:tc>
          <w:tcPr>
            <w:tcW w:w="1078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r w:rsidRPr="004304C5">
              <w:t>1,3 (1,1–1,6)</w:t>
            </w:r>
          </w:p>
        </w:tc>
        <w:tc>
          <w:tcPr>
            <w:tcW w:w="109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  <w:tc>
          <w:tcPr>
            <w:tcW w:w="1113" w:type="pct"/>
            <w:shd w:val="pct20" w:color="000000" w:fill="FFFFFF"/>
          </w:tcPr>
          <w:p w:rsidR="001E34C9" w:rsidRPr="004304C5" w:rsidRDefault="001E34C9" w:rsidP="00CF4E29">
            <w:pPr>
              <w:spacing w:after="120"/>
            </w:pPr>
            <w:proofErr w:type="spellStart"/>
            <w:r w:rsidRPr="004304C5">
              <w:t>k.A</w:t>
            </w:r>
            <w:proofErr w:type="spellEnd"/>
            <w:r w:rsidRPr="004304C5">
              <w:t>.</w:t>
            </w:r>
          </w:p>
        </w:tc>
      </w:tr>
    </w:tbl>
    <w:p w:rsidR="001E34C9" w:rsidRPr="004304C5" w:rsidRDefault="001E34C9" w:rsidP="004304C5"/>
    <w:p w:rsidR="001E34C9" w:rsidRPr="004304C5" w:rsidRDefault="001E34C9" w:rsidP="004304C5">
      <w:r w:rsidRPr="004304C5">
        <w:t>Das erhöhte Blutungsrisiko un</w:t>
      </w:r>
      <w:r w:rsidRPr="004304C5">
        <w:softHyphen/>
        <w:t xml:space="preserve">ter SSRI wird durch vorbestehende </w:t>
      </w:r>
      <w:proofErr w:type="spellStart"/>
      <w:r w:rsidRPr="004304C5">
        <w:t>Gewebs</w:t>
      </w:r>
      <w:r w:rsidRPr="004304C5">
        <w:softHyphen/>
        <w:t>defekte</w:t>
      </w:r>
      <w:proofErr w:type="spellEnd"/>
      <w:r w:rsidRPr="004304C5">
        <w:t xml:space="preserve"> vermittelt. Diese sind u.a. bei gastrointestinalen Erosionen oder </w:t>
      </w:r>
      <w:proofErr w:type="spellStart"/>
      <w:r w:rsidRPr="004304C5">
        <w:t>perioperativ</w:t>
      </w:r>
      <w:proofErr w:type="spellEnd"/>
      <w:r w:rsidRPr="004304C5">
        <w:t xml:space="preserve"> gegeben. Tatsächlich zeigten sich für Patienten unter SSRI ein 3,7 </w:t>
      </w:r>
      <w:proofErr w:type="spellStart"/>
      <w:r w:rsidRPr="004304C5">
        <w:t>fach</w:t>
      </w:r>
      <w:proofErr w:type="spellEnd"/>
      <w:r w:rsidRPr="004304C5">
        <w:t xml:space="preserve"> erhöhtes Risiko, im Rahmen ei</w:t>
      </w:r>
      <w:r w:rsidRPr="004304C5">
        <w:softHyphen/>
        <w:t>ner orthopädischen OP eine Bluttransfu</w:t>
      </w:r>
      <w:r w:rsidRPr="004304C5">
        <w:softHyphen/>
        <w:t xml:space="preserve">sion zu bekommen oder nach einer Brustkrebs-OP ein 7,2 </w:t>
      </w:r>
      <w:proofErr w:type="spellStart"/>
      <w:r w:rsidRPr="004304C5">
        <w:t>fach</w:t>
      </w:r>
      <w:proofErr w:type="spellEnd"/>
      <w:r w:rsidRPr="004304C5">
        <w:t xml:space="preserve"> (gegen 2,6 für Pat. ohne SSRI) erhöhtes Risiko für </w:t>
      </w:r>
      <w:proofErr w:type="spellStart"/>
      <w:r w:rsidRPr="004304C5">
        <w:t>Reoperation</w:t>
      </w:r>
      <w:proofErr w:type="spellEnd"/>
      <w:r w:rsidRPr="004304C5">
        <w:t xml:space="preserve"> wegen postoperativer Blutung. Besonders </w:t>
      </w:r>
      <w:proofErr w:type="spellStart"/>
      <w:r w:rsidRPr="004304C5">
        <w:t>Naproxen</w:t>
      </w:r>
      <w:proofErr w:type="spellEnd"/>
      <w:r w:rsidRPr="004304C5">
        <w:t xml:space="preserve">, </w:t>
      </w:r>
      <w:proofErr w:type="spellStart"/>
      <w:r w:rsidRPr="004304C5">
        <w:t>Piroxicam</w:t>
      </w:r>
      <w:proofErr w:type="spellEnd"/>
      <w:r w:rsidRPr="004304C5">
        <w:t xml:space="preserve"> und </w:t>
      </w:r>
      <w:proofErr w:type="spellStart"/>
      <w:r w:rsidRPr="004304C5">
        <w:t>Indometacin</w:t>
      </w:r>
      <w:proofErr w:type="spellEnd"/>
      <w:r w:rsidRPr="004304C5">
        <w:t xml:space="preserve"> hemmen ausgeprägt die </w:t>
      </w:r>
      <w:proofErr w:type="spellStart"/>
      <w:r w:rsidRPr="004304C5">
        <w:t>Plättchenaggregation</w:t>
      </w:r>
      <w:proofErr w:type="spellEnd"/>
      <w:r w:rsidRPr="004304C5">
        <w:t xml:space="preserve"> und führen zu Schleimhautläsionen im gesamten GI-Trakt</w:t>
      </w:r>
    </w:p>
    <w:p w:rsidR="001E34C9" w:rsidRPr="004304C5" w:rsidRDefault="001E34C9" w:rsidP="004304C5">
      <w:r w:rsidRPr="004304C5">
        <w:t>Umgekehrt besteht kein Zusam</w:t>
      </w:r>
      <w:r w:rsidRPr="004304C5">
        <w:softHyphen/>
        <w:t>menhang zwischen SSRI und intrazere</w:t>
      </w:r>
      <w:r w:rsidRPr="004304C5">
        <w:softHyphen/>
        <w:t xml:space="preserve">bralen Blutungen, wo </w:t>
      </w:r>
      <w:proofErr w:type="spellStart"/>
      <w:r w:rsidRPr="004304C5">
        <w:t>Blutungsquel</w:t>
      </w:r>
      <w:r w:rsidRPr="004304C5">
        <w:softHyphen/>
        <w:t>len</w:t>
      </w:r>
      <w:proofErr w:type="spellEnd"/>
      <w:r w:rsidRPr="004304C5">
        <w:t xml:space="preserve"> selten vorkommen. Die Notwendigkeit eines Gewebsdefektes wäre eine Erklä</w:t>
      </w:r>
      <w:r w:rsidRPr="004304C5">
        <w:softHyphen/>
        <w:t xml:space="preserve">rung für die deutlich erhöhte </w:t>
      </w:r>
      <w:proofErr w:type="spellStart"/>
      <w:r w:rsidRPr="004304C5">
        <w:t>Blutungs</w:t>
      </w:r>
      <w:r w:rsidRPr="004304C5">
        <w:softHyphen/>
        <w:t>neigung</w:t>
      </w:r>
      <w:proofErr w:type="spellEnd"/>
      <w:r w:rsidRPr="004304C5">
        <w:t xml:space="preserve"> unter der Kombination SSRI + NSAR. </w:t>
      </w:r>
      <w:r>
        <w:br/>
      </w:r>
      <w:r w:rsidRPr="004304C5">
        <w:t xml:space="preserve">Diese Ergebnisse sind auch aufgrund des zunehmenden Einsatzes von SSRI bei </w:t>
      </w:r>
      <w:r>
        <w:br/>
      </w:r>
      <w:r w:rsidRPr="004304C5">
        <w:t>Post-</w:t>
      </w:r>
      <w:proofErr w:type="spellStart"/>
      <w:r w:rsidRPr="004304C5">
        <w:t>stroke</w:t>
      </w:r>
      <w:proofErr w:type="spellEnd"/>
      <w:r w:rsidRPr="004304C5">
        <w:t xml:space="preserve">-Depression von Bedeutung, da sie nahe legen, dass die kein </w:t>
      </w:r>
      <w:proofErr w:type="spellStart"/>
      <w:r w:rsidRPr="004304C5">
        <w:t>erhötes</w:t>
      </w:r>
      <w:proofErr w:type="spellEnd"/>
      <w:r w:rsidRPr="004304C5">
        <w:t xml:space="preserve"> Blutungsrisiko nach zerebralem Insult unter </w:t>
      </w:r>
      <w:proofErr w:type="spellStart"/>
      <w:r w:rsidRPr="004304C5">
        <w:t>Komedikation</w:t>
      </w:r>
      <w:proofErr w:type="spellEnd"/>
      <w:r w:rsidRPr="004304C5">
        <w:t xml:space="preserve"> von SSRI + ASS bzw. </w:t>
      </w:r>
      <w:proofErr w:type="spellStart"/>
      <w:r w:rsidRPr="004304C5">
        <w:t>Cumarin</w:t>
      </w:r>
      <w:proofErr w:type="spellEnd"/>
      <w:r w:rsidRPr="004304C5">
        <w:t>-Präpara</w:t>
      </w:r>
      <w:r w:rsidRPr="004304C5">
        <w:softHyphen/>
        <w:t>te zu keinem erhöhten Blutungsrisiko führt. Durch diese Daten wird die Verwendung von SSRI bei Patienten nach vorangegangenem kardiovasku</w:t>
      </w:r>
      <w:r w:rsidRPr="004304C5">
        <w:softHyphen/>
        <w:t xml:space="preserve">lären </w:t>
      </w:r>
      <w:r w:rsidRPr="004304C5">
        <w:lastRenderedPageBreak/>
        <w:t>Ereignis und depressiver Er</w:t>
      </w:r>
      <w:r w:rsidRPr="004304C5">
        <w:softHyphen/>
        <w:t>krankung erleichtert, zumal Studien die positive Wirkung von SSRI in dieser Patientengruppe dokumentiert</w:t>
      </w:r>
    </w:p>
    <w:p w:rsidR="001E34C9" w:rsidRPr="004304C5" w:rsidRDefault="001E34C9" w:rsidP="004304C5">
      <w:proofErr w:type="spellStart"/>
      <w:r w:rsidRPr="00CF4E29">
        <w:rPr>
          <w:b/>
        </w:rPr>
        <w:t>pharmakody</w:t>
      </w:r>
      <w:r w:rsidRPr="00CF4E29">
        <w:rPr>
          <w:b/>
        </w:rPr>
        <w:softHyphen/>
        <w:t>namische</w:t>
      </w:r>
      <w:proofErr w:type="spellEnd"/>
      <w:r w:rsidRPr="00CF4E29">
        <w:rPr>
          <w:b/>
        </w:rPr>
        <w:t xml:space="preserve"> Effekte </w:t>
      </w:r>
      <w:r>
        <w:rPr>
          <w:b/>
        </w:rPr>
        <w:br/>
      </w:r>
      <w:r w:rsidRPr="004304C5">
        <w:t>additive Wirkung: gleichzeitige Gabe von Medikamenten die ei</w:t>
      </w:r>
      <w:r w:rsidRPr="004304C5">
        <w:softHyphen/>
        <w:t>ne Erhöhung der Blutungsneigung her</w:t>
      </w:r>
      <w:r w:rsidRPr="004304C5">
        <w:softHyphen/>
        <w:t xml:space="preserve">vorrufen, z. B. </w:t>
      </w:r>
      <w:proofErr w:type="spellStart"/>
      <w:r w:rsidRPr="004304C5">
        <w:t>Thrombozytenaggregati</w:t>
      </w:r>
      <w:r w:rsidRPr="004304C5">
        <w:softHyphen/>
        <w:t>onshemmer</w:t>
      </w:r>
      <w:proofErr w:type="spellEnd"/>
      <w:r w:rsidRPr="004304C5">
        <w:t xml:space="preserve"> und </w:t>
      </w:r>
      <w:proofErr w:type="spellStart"/>
      <w:r w:rsidRPr="004304C5">
        <w:t>Heparinpräparate</w:t>
      </w:r>
      <w:proofErr w:type="spellEnd"/>
      <w:r w:rsidRPr="004304C5">
        <w:t xml:space="preserve"> oder SSRI und NSAR, zu berücksichtigen. Da</w:t>
      </w:r>
      <w:r w:rsidRPr="004304C5">
        <w:softHyphen/>
        <w:t>bei sollte die Indikation jedes einzelnen Medikamentes überprüft werden.</w:t>
      </w:r>
    </w:p>
    <w:p w:rsidR="001E34C9" w:rsidRPr="004304C5" w:rsidRDefault="001E34C9" w:rsidP="004304C5">
      <w:proofErr w:type="spellStart"/>
      <w:r w:rsidRPr="00CF4E29">
        <w:rPr>
          <w:b/>
        </w:rPr>
        <w:t>pharmakokinetische</w:t>
      </w:r>
      <w:proofErr w:type="spellEnd"/>
      <w:r w:rsidRPr="00CF4E29">
        <w:rPr>
          <w:b/>
        </w:rPr>
        <w:t xml:space="preserve"> Effekte</w:t>
      </w:r>
      <w:r w:rsidRPr="00CF4E29">
        <w:rPr>
          <w:b/>
        </w:rPr>
        <w:br/>
      </w:r>
      <w:proofErr w:type="spellStart"/>
      <w:r w:rsidRPr="004304C5">
        <w:t>Fluoxetin</w:t>
      </w:r>
      <w:proofErr w:type="spellEnd"/>
      <w:r w:rsidRPr="004304C5">
        <w:t xml:space="preserve">, </w:t>
      </w:r>
      <w:proofErr w:type="spellStart"/>
      <w:r w:rsidRPr="004304C5">
        <w:t>Fluvoxamin</w:t>
      </w:r>
      <w:proofErr w:type="spellEnd"/>
      <w:r w:rsidRPr="004304C5">
        <w:t>, in geringerem Ma</w:t>
      </w:r>
      <w:r w:rsidRPr="004304C5">
        <w:softHyphen/>
        <w:t xml:space="preserve">ße auch </w:t>
      </w:r>
      <w:proofErr w:type="spellStart"/>
      <w:r w:rsidRPr="004304C5">
        <w:t>Sertralin</w:t>
      </w:r>
      <w:proofErr w:type="spellEnd"/>
      <w:r w:rsidRPr="004304C5">
        <w:t xml:space="preserve"> und </w:t>
      </w:r>
      <w:proofErr w:type="spellStart"/>
      <w:r w:rsidRPr="004304C5">
        <w:t>Paroxetin</w:t>
      </w:r>
      <w:proofErr w:type="spellEnd"/>
      <w:r w:rsidRPr="004304C5">
        <w:t xml:space="preserve"> können über CYP2C9 den Abbau von </w:t>
      </w:r>
      <w:proofErr w:type="spellStart"/>
      <w:r w:rsidRPr="004304C5">
        <w:t>Cumarinen</w:t>
      </w:r>
      <w:proofErr w:type="spellEnd"/>
      <w:r w:rsidRPr="004304C5">
        <w:t xml:space="preserve"> hemmen. Da die Mehrzahl der NSAR ebenfalls über CYP-2C9 </w:t>
      </w:r>
      <w:proofErr w:type="spellStart"/>
      <w:r w:rsidRPr="004304C5">
        <w:t>metabo</w:t>
      </w:r>
      <w:r w:rsidRPr="004304C5">
        <w:softHyphen/>
        <w:t>lisiert</w:t>
      </w:r>
      <w:proofErr w:type="spellEnd"/>
      <w:r w:rsidRPr="004304C5">
        <w:t xml:space="preserve"> wird, ist durch diese SSRI eine wei</w:t>
      </w:r>
      <w:r w:rsidRPr="004304C5">
        <w:softHyphen/>
        <w:t>tere Erhöhung der Blutungsneigung infol</w:t>
      </w:r>
      <w:r w:rsidRPr="004304C5">
        <w:softHyphen/>
        <w:t xml:space="preserve">ge der Wirkungsverstärkung von NSAR zu erwarten. 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489"/>
        <w:gridCol w:w="5759"/>
      </w:tblGrid>
      <w:tr w:rsidR="001E34C9" w:rsidRPr="00CF4E29" w:rsidTr="00BE1732">
        <w:trPr>
          <w:trHeight w:val="102"/>
        </w:trPr>
        <w:tc>
          <w:tcPr>
            <w:tcW w:w="5000" w:type="pct"/>
            <w:gridSpan w:val="2"/>
            <w:shd w:val="pct5" w:color="000000" w:fill="FFFFFF"/>
          </w:tcPr>
          <w:p w:rsidR="001E34C9" w:rsidRPr="00CF4E29" w:rsidRDefault="001E34C9" w:rsidP="004304C5">
            <w:pPr>
              <w:rPr>
                <w:b/>
                <w:color w:val="808080" w:themeColor="background1" w:themeShade="80"/>
              </w:rPr>
            </w:pPr>
            <w:r w:rsidRPr="00CF4E29">
              <w:rPr>
                <w:b/>
                <w:color w:val="808080" w:themeColor="background1" w:themeShade="80"/>
              </w:rPr>
              <w:t xml:space="preserve">Interaktionsrisiko von Antidepressiva mit </w:t>
            </w:r>
            <w:proofErr w:type="spellStart"/>
            <w:r w:rsidRPr="00CF4E29">
              <w:rPr>
                <w:b/>
                <w:color w:val="808080" w:themeColor="background1" w:themeShade="80"/>
              </w:rPr>
              <w:t>Cumarinen</w:t>
            </w:r>
            <w:proofErr w:type="spellEnd"/>
          </w:p>
        </w:tc>
      </w:tr>
      <w:tr w:rsidR="001E34C9" w:rsidRPr="00C224F9" w:rsidTr="00BE1732">
        <w:trPr>
          <w:trHeight w:val="197"/>
        </w:trPr>
        <w:tc>
          <w:tcPr>
            <w:tcW w:w="1027" w:type="pct"/>
            <w:shd w:val="pct20" w:color="000000" w:fill="FFFFFF"/>
          </w:tcPr>
          <w:p w:rsidR="001E34C9" w:rsidRPr="004304C5" w:rsidRDefault="001E34C9" w:rsidP="004304C5">
            <w:r w:rsidRPr="004304C5">
              <w:t>Hoch</w:t>
            </w:r>
          </w:p>
        </w:tc>
        <w:tc>
          <w:tcPr>
            <w:tcW w:w="3973" w:type="pct"/>
            <w:shd w:val="pct20" w:color="000000" w:fill="FFFFFF"/>
          </w:tcPr>
          <w:p w:rsidR="001E34C9" w:rsidRPr="004304C5" w:rsidRDefault="001E34C9" w:rsidP="004304C5">
            <w:proofErr w:type="spellStart"/>
            <w:r w:rsidRPr="004304C5">
              <w:t>Fluoxetin</w:t>
            </w:r>
            <w:proofErr w:type="spellEnd"/>
            <w:r w:rsidRPr="004304C5">
              <w:t xml:space="preserve"> (Inhibition von CYP2C9 und CYP3A4)</w:t>
            </w:r>
          </w:p>
          <w:p w:rsidR="001E34C9" w:rsidRPr="004304C5" w:rsidRDefault="001E34C9" w:rsidP="004304C5">
            <w:proofErr w:type="spellStart"/>
            <w:r w:rsidRPr="004304C5">
              <w:t>Fluvoxamin</w:t>
            </w:r>
            <w:proofErr w:type="spellEnd"/>
            <w:r w:rsidRPr="004304C5">
              <w:t xml:space="preserve"> (Inhibition von CYP2C9 und CYP3A4)</w:t>
            </w:r>
          </w:p>
        </w:tc>
      </w:tr>
      <w:tr w:rsidR="001E34C9" w:rsidRPr="00C224F9" w:rsidTr="00BE1732">
        <w:trPr>
          <w:trHeight w:val="197"/>
        </w:trPr>
        <w:tc>
          <w:tcPr>
            <w:tcW w:w="1027" w:type="pct"/>
            <w:shd w:val="pct5" w:color="000000" w:fill="FFFFFF"/>
          </w:tcPr>
          <w:p w:rsidR="001E34C9" w:rsidRPr="004304C5" w:rsidRDefault="001E34C9" w:rsidP="004304C5">
            <w:r w:rsidRPr="004304C5">
              <w:t>Mittel</w:t>
            </w:r>
          </w:p>
        </w:tc>
        <w:tc>
          <w:tcPr>
            <w:tcW w:w="3973" w:type="pct"/>
            <w:shd w:val="pct5" w:color="000000" w:fill="FFFFFF"/>
          </w:tcPr>
          <w:p w:rsidR="001E34C9" w:rsidRPr="004304C5" w:rsidRDefault="001E34C9" w:rsidP="004304C5">
            <w:proofErr w:type="spellStart"/>
            <w:r w:rsidRPr="004304C5">
              <w:t>Paroxetin</w:t>
            </w:r>
            <w:proofErr w:type="spellEnd"/>
            <w:r w:rsidRPr="004304C5">
              <w:t xml:space="preserve"> (schwache Inhibition von CYP2C9)</w:t>
            </w:r>
          </w:p>
          <w:p w:rsidR="001E34C9" w:rsidRPr="004304C5" w:rsidRDefault="001E34C9" w:rsidP="004304C5">
            <w:proofErr w:type="spellStart"/>
            <w:r w:rsidRPr="004304C5">
              <w:t>Sertralin</w:t>
            </w:r>
            <w:proofErr w:type="spellEnd"/>
            <w:r w:rsidRPr="004304C5">
              <w:t xml:space="preserve"> (Substrat von CYP2C9 und CYP3A4)</w:t>
            </w:r>
          </w:p>
        </w:tc>
      </w:tr>
      <w:tr w:rsidR="001E34C9" w:rsidRPr="00C224F9" w:rsidTr="00BE1732">
        <w:trPr>
          <w:trHeight w:val="299"/>
        </w:trPr>
        <w:tc>
          <w:tcPr>
            <w:tcW w:w="1027" w:type="pct"/>
            <w:shd w:val="pct20" w:color="000000" w:fill="FFFFFF"/>
          </w:tcPr>
          <w:p w:rsidR="001E34C9" w:rsidRPr="004304C5" w:rsidRDefault="001E34C9" w:rsidP="004304C5">
            <w:r w:rsidRPr="004304C5">
              <w:t>Niedrig</w:t>
            </w:r>
          </w:p>
        </w:tc>
        <w:tc>
          <w:tcPr>
            <w:tcW w:w="3973" w:type="pct"/>
            <w:shd w:val="pct20" w:color="000000" w:fill="FFFFFF"/>
          </w:tcPr>
          <w:p w:rsidR="001E34C9" w:rsidRPr="00E8391B" w:rsidRDefault="001E34C9" w:rsidP="004304C5">
            <w:pPr>
              <w:rPr>
                <w:lang w:val="en-US"/>
              </w:rPr>
            </w:pPr>
            <w:r w:rsidRPr="00E8391B">
              <w:rPr>
                <w:lang w:val="en-US"/>
              </w:rPr>
              <w:t>Citalopram (</w:t>
            </w:r>
            <w:proofErr w:type="spellStart"/>
            <w:r w:rsidRPr="00E8391B">
              <w:rPr>
                <w:lang w:val="en-US"/>
              </w:rPr>
              <w:t>Substrat</w:t>
            </w:r>
            <w:proofErr w:type="spellEnd"/>
            <w:r w:rsidRPr="00E8391B">
              <w:rPr>
                <w:lang w:val="en-US"/>
              </w:rPr>
              <w:t xml:space="preserve"> von CYP3A4 und CYP2C19)</w:t>
            </w:r>
          </w:p>
          <w:p w:rsidR="001E34C9" w:rsidRPr="004304C5" w:rsidRDefault="001E34C9" w:rsidP="004304C5">
            <w:proofErr w:type="spellStart"/>
            <w:r w:rsidRPr="004304C5">
              <w:t>Trizyklische</w:t>
            </w:r>
            <w:proofErr w:type="spellEnd"/>
            <w:r w:rsidRPr="004304C5">
              <w:t xml:space="preserve"> Antidepressiva (Substrat von CYP3A4 und CYP2C19)</w:t>
            </w:r>
          </w:p>
          <w:p w:rsidR="001E34C9" w:rsidRPr="004304C5" w:rsidRDefault="001E34C9" w:rsidP="004304C5">
            <w:proofErr w:type="spellStart"/>
            <w:r w:rsidRPr="004304C5">
              <w:t>Venlafaxin</w:t>
            </w:r>
            <w:proofErr w:type="spellEnd"/>
            <w:r w:rsidRPr="004304C5">
              <w:t xml:space="preserve"> (Substrat von CYP2D6)</w:t>
            </w:r>
          </w:p>
        </w:tc>
      </w:tr>
    </w:tbl>
    <w:p w:rsidR="001E34C9" w:rsidRPr="004304C5" w:rsidRDefault="001E34C9" w:rsidP="004304C5"/>
    <w:p w:rsidR="001E34C9" w:rsidRPr="004304C5" w:rsidRDefault="001E34C9" w:rsidP="004304C5"/>
    <w:p w:rsidR="001E34C9" w:rsidRDefault="001E34C9" w:rsidP="004304C5">
      <w:pPr>
        <w:pStyle w:val="Textkrper"/>
        <w:jc w:val="left"/>
        <w:rPr>
          <w:rFonts w:cs="Arial"/>
        </w:rPr>
      </w:pPr>
    </w:p>
    <w:p w:rsidR="008910FD" w:rsidRDefault="008910FD">
      <w:r>
        <w:br w:type="page"/>
      </w:r>
    </w:p>
    <w:p w:rsidR="008910FD" w:rsidRDefault="008910FD" w:rsidP="008910FD">
      <w:pPr>
        <w:rPr>
          <w:b/>
        </w:rPr>
      </w:pPr>
      <w:r>
        <w:rPr>
          <w:b/>
        </w:rPr>
        <w:lastRenderedPageBreak/>
        <w:t>SSRI in der Gravidität</w:t>
      </w:r>
    </w:p>
    <w:p w:rsidR="008910FD" w:rsidRDefault="008910FD" w:rsidP="008910FD">
      <w:pPr>
        <w:rPr>
          <w:szCs w:val="20"/>
        </w:rPr>
      </w:pPr>
      <w:r w:rsidRPr="008910FD">
        <w:rPr>
          <w:szCs w:val="20"/>
        </w:rPr>
        <w:t xml:space="preserve">SSRI </w:t>
      </w:r>
      <w:r>
        <w:rPr>
          <w:szCs w:val="20"/>
        </w:rPr>
        <w:t xml:space="preserve">Behandlung </w:t>
      </w:r>
      <w:r w:rsidRPr="008910FD">
        <w:rPr>
          <w:szCs w:val="20"/>
        </w:rPr>
        <w:t xml:space="preserve">im 2 </w:t>
      </w:r>
      <w:r>
        <w:rPr>
          <w:szCs w:val="20"/>
        </w:rPr>
        <w:t>oder</w:t>
      </w:r>
      <w:r w:rsidRPr="008910FD">
        <w:rPr>
          <w:szCs w:val="20"/>
        </w:rPr>
        <w:t xml:space="preserve"> 3 </w:t>
      </w:r>
      <w:proofErr w:type="spellStart"/>
      <w:r w:rsidRPr="008910FD">
        <w:rPr>
          <w:szCs w:val="20"/>
        </w:rPr>
        <w:t>Trimenon</w:t>
      </w:r>
      <w:proofErr w:type="spellEnd"/>
      <w:r w:rsidRPr="008910FD">
        <w:rPr>
          <w:szCs w:val="20"/>
        </w:rPr>
        <w:t xml:space="preserve"> erhöh</w:t>
      </w:r>
      <w:r>
        <w:rPr>
          <w:szCs w:val="20"/>
        </w:rPr>
        <w:t>t</w:t>
      </w:r>
      <w:r w:rsidRPr="008910FD">
        <w:rPr>
          <w:szCs w:val="20"/>
        </w:rPr>
        <w:t xml:space="preserve"> das Risiko für Autismus Spektrum Störungen bei</w:t>
      </w:r>
      <w:r>
        <w:rPr>
          <w:szCs w:val="20"/>
        </w:rPr>
        <w:t xml:space="preserve">m </w:t>
      </w:r>
      <w:r w:rsidRPr="008910FD">
        <w:rPr>
          <w:szCs w:val="20"/>
        </w:rPr>
        <w:t xml:space="preserve">Kind </w:t>
      </w:r>
      <w:r>
        <w:rPr>
          <w:szCs w:val="20"/>
        </w:rPr>
        <w:t>bis zum Alter von 10 Jahren.</w:t>
      </w:r>
      <w:r w:rsidRPr="008910FD">
        <w:rPr>
          <w:szCs w:val="20"/>
        </w:rPr>
        <w:t xml:space="preserve"> (HR</w:t>
      </w:r>
      <w:r>
        <w:rPr>
          <w:szCs w:val="20"/>
        </w:rPr>
        <w:t>:</w:t>
      </w:r>
      <w:r w:rsidRPr="008910FD">
        <w:rPr>
          <w:szCs w:val="20"/>
        </w:rPr>
        <w:t xml:space="preserve"> 2.17; 95% CI</w:t>
      </w:r>
      <w:r>
        <w:rPr>
          <w:szCs w:val="20"/>
        </w:rPr>
        <w:t>:</w:t>
      </w:r>
      <w:r w:rsidRPr="008910FD">
        <w:rPr>
          <w:szCs w:val="20"/>
        </w:rPr>
        <w:t xml:space="preserve"> 1.20 - 3.93)</w:t>
      </w:r>
    </w:p>
    <w:p w:rsidR="008910FD" w:rsidRPr="008910FD" w:rsidRDefault="008910FD" w:rsidP="008910FD">
      <w:pPr>
        <w:rPr>
          <w:szCs w:val="20"/>
        </w:rPr>
      </w:pPr>
      <w:r>
        <w:rPr>
          <w:szCs w:val="20"/>
        </w:rPr>
        <w:t xml:space="preserve">Unbehandelte mütterliche Depression erhöht </w:t>
      </w:r>
      <w:r w:rsidRPr="008910FD">
        <w:rPr>
          <w:szCs w:val="20"/>
        </w:rPr>
        <w:t>das Risiko für Autismus Spektrum Störungen beim Kind bis zum Alter von 10 Jahren.</w:t>
      </w:r>
      <w:r>
        <w:rPr>
          <w:szCs w:val="20"/>
        </w:rPr>
        <w:t xml:space="preserve"> (HR:</w:t>
      </w:r>
      <w:r w:rsidRPr="008910FD">
        <w:rPr>
          <w:color w:val="333333"/>
          <w:szCs w:val="20"/>
        </w:rPr>
        <w:t xml:space="preserve"> 1.75; 95% CI</w:t>
      </w:r>
      <w:r>
        <w:rPr>
          <w:color w:val="333333"/>
          <w:szCs w:val="20"/>
        </w:rPr>
        <w:t>:</w:t>
      </w:r>
      <w:r w:rsidRPr="008910FD">
        <w:rPr>
          <w:color w:val="333333"/>
          <w:szCs w:val="20"/>
        </w:rPr>
        <w:t xml:space="preserve"> 1.03-2.97)</w:t>
      </w:r>
    </w:p>
    <w:p w:rsidR="001E34C9" w:rsidRDefault="008910FD" w:rsidP="008910FD">
      <w:pPr>
        <w:jc w:val="both"/>
        <w:rPr>
          <w:szCs w:val="20"/>
        </w:rPr>
      </w:pPr>
      <w:r>
        <w:rPr>
          <w:szCs w:val="20"/>
        </w:rPr>
        <w:t xml:space="preserve">SSRI Therapie im letzten </w:t>
      </w:r>
      <w:proofErr w:type="spellStart"/>
      <w:r>
        <w:rPr>
          <w:szCs w:val="20"/>
        </w:rPr>
        <w:t>Trimenon</w:t>
      </w:r>
      <w:proofErr w:type="spellEnd"/>
      <w:r>
        <w:rPr>
          <w:szCs w:val="20"/>
        </w:rPr>
        <w:t xml:space="preserve"> erhöht gering das Risiko für pulmonale Hypertension beim Neugeborenen. Wegen der möglichen ernsten Folgen für das neugeborene muss über dieses seltene Risiko trotzdem aufgeklärt werden. Maßnahmen: Dosisreduktion &gt; 2 Wochen vor Entbindung.</w:t>
      </w:r>
    </w:p>
    <w:p w:rsidR="008910FD" w:rsidRDefault="008910FD" w:rsidP="008910FD">
      <w:pPr>
        <w:jc w:val="both"/>
        <w:rPr>
          <w:szCs w:val="20"/>
        </w:rPr>
      </w:pPr>
    </w:p>
    <w:p w:rsidR="008910FD" w:rsidRPr="008910FD" w:rsidRDefault="008910FD" w:rsidP="008910FD">
      <w:pPr>
        <w:jc w:val="both"/>
        <w:rPr>
          <w:szCs w:val="20"/>
        </w:rPr>
        <w:sectPr w:rsidR="008910FD" w:rsidRPr="008910FD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0B6D18" w:rsidRPr="008910FD" w:rsidRDefault="000B6D18" w:rsidP="00A67970">
      <w:pPr>
        <w:ind w:left="708"/>
        <w:rPr>
          <w:szCs w:val="20"/>
        </w:rPr>
      </w:pPr>
    </w:p>
    <w:sectPr w:rsidR="000B6D18" w:rsidRPr="008910FD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E47"/>
    <w:multiLevelType w:val="hybridMultilevel"/>
    <w:tmpl w:val="83E0A24C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2E42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368A2"/>
    <w:multiLevelType w:val="hybridMultilevel"/>
    <w:tmpl w:val="E700AA82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4F1"/>
    <w:multiLevelType w:val="hybridMultilevel"/>
    <w:tmpl w:val="6F86D442"/>
    <w:lvl w:ilvl="0" w:tplc="37E8072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43772"/>
    <w:multiLevelType w:val="hybridMultilevel"/>
    <w:tmpl w:val="C3F2AC34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570B5"/>
    <w:multiLevelType w:val="hybridMultilevel"/>
    <w:tmpl w:val="287C8A52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37"/>
    <w:multiLevelType w:val="hybridMultilevel"/>
    <w:tmpl w:val="F274F3FE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B45B88"/>
    <w:multiLevelType w:val="hybridMultilevel"/>
    <w:tmpl w:val="7110C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A311E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6A9B429-F09D-41C0-899A-D5A8CD275DE5}"/>
    <w:docVar w:name="dgnword-eventsink" w:val="114914152"/>
  </w:docVars>
  <w:rsids>
    <w:rsidRoot w:val="005A48B9"/>
    <w:rsid w:val="0006410B"/>
    <w:rsid w:val="000B6D18"/>
    <w:rsid w:val="00113040"/>
    <w:rsid w:val="001E34C9"/>
    <w:rsid w:val="003947E7"/>
    <w:rsid w:val="003E47B8"/>
    <w:rsid w:val="004304C5"/>
    <w:rsid w:val="004D7B3B"/>
    <w:rsid w:val="005A48B9"/>
    <w:rsid w:val="0077186B"/>
    <w:rsid w:val="007848F1"/>
    <w:rsid w:val="007B27E7"/>
    <w:rsid w:val="008636A9"/>
    <w:rsid w:val="008910FD"/>
    <w:rsid w:val="008B140E"/>
    <w:rsid w:val="008D7BC7"/>
    <w:rsid w:val="009D4F5E"/>
    <w:rsid w:val="00A67970"/>
    <w:rsid w:val="00B809DC"/>
    <w:rsid w:val="00CF4E29"/>
    <w:rsid w:val="00E10917"/>
    <w:rsid w:val="00E5427C"/>
    <w:rsid w:val="00ED0472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52E0BA2D.dotm</Template>
  <TotalTime>0</TotalTime>
  <Pages>9</Pages>
  <Words>1378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5</cp:revision>
  <dcterms:created xsi:type="dcterms:W3CDTF">2014-03-18T10:35:00Z</dcterms:created>
  <dcterms:modified xsi:type="dcterms:W3CDTF">2018-01-24T16:05:00Z</dcterms:modified>
</cp:coreProperties>
</file>