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D0" w:rsidRPr="005C4B5B" w:rsidRDefault="00B01ED0" w:rsidP="005C4B5B">
      <w:pPr>
        <w:pStyle w:val="berschrift1"/>
      </w:pPr>
      <w:bookmarkStart w:id="0" w:name="_Toc384726060"/>
      <w:r w:rsidRPr="005C4B5B">
        <w:t>Therapieabbruch</w:t>
      </w:r>
      <w:bookmarkEnd w:id="0"/>
    </w:p>
    <w:p w:rsidR="00B01ED0" w:rsidRPr="009570F3" w:rsidRDefault="00B01ED0" w:rsidP="009570F3">
      <w:pPr>
        <w:rPr>
          <w:b/>
          <w:bCs/>
          <w:color w:val="808080" w:themeColor="background1" w:themeShade="80"/>
        </w:rPr>
      </w:pPr>
      <w:r w:rsidRPr="009570F3">
        <w:rPr>
          <w:color w:val="808080" w:themeColor="background1" w:themeShade="80"/>
        </w:rPr>
        <w:sym w:font="Wingdings" w:char="F0E0"/>
      </w:r>
      <w:r w:rsidRPr="009570F3">
        <w:rPr>
          <w:color w:val="808080" w:themeColor="background1" w:themeShade="80"/>
        </w:rPr>
        <w:t xml:space="preserve"> Aufklärung von </w:t>
      </w:r>
      <w:proofErr w:type="spellStart"/>
      <w:r w:rsidRPr="009570F3">
        <w:rPr>
          <w:color w:val="808080" w:themeColor="background1" w:themeShade="80"/>
        </w:rPr>
        <w:t>PatientInnen</w:t>
      </w:r>
      <w:proofErr w:type="spellEnd"/>
      <w:r w:rsidRPr="009570F3">
        <w:rPr>
          <w:color w:val="808080" w:themeColor="background1" w:themeShade="80"/>
        </w:rPr>
        <w:t xml:space="preserve"> bei Therapieabbruch und vor Gefahren zu warnen und zur rechtlichen Absicherung der Abteilung</w:t>
      </w:r>
      <w:r w:rsidR="004B41DA">
        <w:rPr>
          <w:color w:val="808080" w:themeColor="background1" w:themeShade="80"/>
        </w:rPr>
        <w:t>:</w:t>
      </w:r>
      <w:r w:rsidRPr="009570F3">
        <w:rPr>
          <w:color w:val="808080" w:themeColor="background1" w:themeShade="80"/>
        </w:rPr>
        <w:t xml:space="preserve"> Vorgangsweise und Dokumentation</w:t>
      </w:r>
    </w:p>
    <w:p w:rsidR="00B01ED0" w:rsidRDefault="00B01ED0" w:rsidP="009570F3">
      <w:pPr>
        <w:rPr>
          <w:color w:val="808080" w:themeColor="background1" w:themeShade="80"/>
        </w:rPr>
      </w:pPr>
      <w:r w:rsidRPr="005C4B5B">
        <w:rPr>
          <w:sz w:val="36"/>
        </w:rPr>
        <w:sym w:font="Wingdings" w:char="F032"/>
      </w:r>
      <w:r>
        <w:rPr>
          <w:sz w:val="36"/>
        </w:rPr>
        <w:t xml:space="preserve"> </w:t>
      </w:r>
      <w:r w:rsidRPr="005C4B5B">
        <w:t xml:space="preserve">Therapieabbruch </w:t>
      </w:r>
      <w:r w:rsidR="004B41DA">
        <w:t>(liegt auf Stationen auf) sog. Entlassungs-„Revers“</w:t>
      </w:r>
      <w:r w:rsidR="004B41DA">
        <w:br/>
      </w:r>
      <w:r w:rsidR="004B41DA">
        <w:rPr>
          <w:color w:val="808080" w:themeColor="background1" w:themeShade="80"/>
        </w:rPr>
        <w:t>\\</w:t>
      </w:r>
      <w:r w:rsidRPr="009570F3">
        <w:rPr>
          <w:color w:val="808080" w:themeColor="background1" w:themeShade="80"/>
        </w:rPr>
        <w:t>„</w:t>
      </w:r>
      <w:proofErr w:type="spellStart"/>
      <w:r w:rsidRPr="009570F3">
        <w:rPr>
          <w:color w:val="808080" w:themeColor="background1" w:themeShade="80"/>
        </w:rPr>
        <w:t>w</w:t>
      </w:r>
      <w:r w:rsidR="004B41DA">
        <w:rPr>
          <w:color w:val="808080" w:themeColor="background1" w:themeShade="80"/>
        </w:rPr>
        <w:t>egr</w:t>
      </w:r>
      <w:r w:rsidR="006C24E4">
        <w:rPr>
          <w:color w:val="808080" w:themeColor="background1" w:themeShade="80"/>
        </w:rPr>
        <w:t>d</w:t>
      </w:r>
      <w:r w:rsidR="004B41DA">
        <w:rPr>
          <w:color w:val="808080" w:themeColor="background1" w:themeShade="80"/>
        </w:rPr>
        <w:t>f</w:t>
      </w:r>
      <w:r w:rsidR="006C24E4">
        <w:rPr>
          <w:color w:val="808080" w:themeColor="background1" w:themeShade="80"/>
        </w:rPr>
        <w:t>s</w:t>
      </w:r>
      <w:proofErr w:type="spellEnd"/>
      <w:r w:rsidRPr="009570F3">
        <w:rPr>
          <w:color w:val="808080" w:themeColor="background1" w:themeShade="80"/>
        </w:rPr>
        <w:t>“</w:t>
      </w:r>
      <w:r w:rsidR="006C24E4">
        <w:rPr>
          <w:color w:val="808080" w:themeColor="background1" w:themeShade="80"/>
        </w:rPr>
        <w:t xml:space="preserve"> (V) </w:t>
      </w:r>
      <w:bookmarkStart w:id="1" w:name="_GoBack"/>
      <w:bookmarkEnd w:id="1"/>
      <w:r w:rsidRPr="009570F3">
        <w:rPr>
          <w:color w:val="808080" w:themeColor="background1" w:themeShade="80"/>
        </w:rPr>
        <w:t>\</w:t>
      </w:r>
      <w:r w:rsidR="004B41DA">
        <w:rPr>
          <w:color w:val="808080" w:themeColor="background1" w:themeShade="80"/>
        </w:rPr>
        <w:t>Psychiatrie\</w:t>
      </w:r>
      <w:r w:rsidRPr="009570F3">
        <w:rPr>
          <w:color w:val="808080" w:themeColor="background1" w:themeShade="80"/>
        </w:rPr>
        <w:t>Formulare \Formulare - Pflege\Entlassung u. Ausgang</w:t>
      </w:r>
    </w:p>
    <w:p w:rsidR="004B41DA" w:rsidRDefault="00B01ED0" w:rsidP="009570F3">
      <w:r w:rsidRPr="005C4B5B">
        <w:t xml:space="preserve">Die vorzeitige Beendigung einer stationären psychiatrischen Behandlung kann für </w:t>
      </w:r>
      <w:proofErr w:type="spellStart"/>
      <w:r w:rsidRPr="005C4B5B">
        <w:t>PatientInnen</w:t>
      </w:r>
      <w:proofErr w:type="spellEnd"/>
      <w:r w:rsidRPr="005C4B5B">
        <w:t xml:space="preserve"> und/oder ihr soziales Umfeld mitunter erhebliche gesundheitliche und soziale Gefahren hervorrufen. Patienten müssen über diese Risiken umfassend aufgeklärt werden damit sie alle notwendigen Informationen für ihre Entscheidung erhalten, aber auch um nachfolgenden Beschwerden oder Ansprüchen zu begegnen. </w:t>
      </w:r>
    </w:p>
    <w:p w:rsidR="00B01ED0" w:rsidRPr="005C4B5B" w:rsidRDefault="00B01ED0" w:rsidP="009570F3">
      <w:pPr>
        <w:rPr>
          <w:bCs/>
        </w:rPr>
      </w:pPr>
      <w:r w:rsidRPr="009570F3">
        <w:rPr>
          <w:rFonts w:eastAsia="Times New Roman" w:cstheme="minorHAnsi"/>
          <w:b/>
          <w:color w:val="808080" w:themeColor="background1" w:themeShade="80"/>
          <w:szCs w:val="20"/>
        </w:rPr>
        <w:t>Rechtliche Gründe erfordern eine exakte schriftliche Dokumentation</w:t>
      </w:r>
    </w:p>
    <w:p w:rsidR="004B41DA" w:rsidRDefault="004B41DA" w:rsidP="005C4B5B">
      <w:pPr>
        <w:pStyle w:val="berschrift2"/>
      </w:pPr>
    </w:p>
    <w:p w:rsidR="00B01ED0" w:rsidRPr="005C4B5B" w:rsidRDefault="00B01ED0" w:rsidP="005C4B5B">
      <w:pPr>
        <w:pStyle w:val="berschrift2"/>
      </w:pPr>
      <w:proofErr w:type="spellStart"/>
      <w:r w:rsidRPr="005C4B5B">
        <w:t>Patient</w:t>
      </w:r>
      <w:r w:rsidR="004B41DA">
        <w:t>I</w:t>
      </w:r>
      <w:r w:rsidRPr="005C4B5B">
        <w:t>n</w:t>
      </w:r>
      <w:proofErr w:type="spellEnd"/>
      <w:r w:rsidRPr="005C4B5B">
        <w:t xml:space="preserve"> möchte Aufenthalt beenden</w:t>
      </w:r>
    </w:p>
    <w:p w:rsidR="00B01ED0" w:rsidRPr="009570F3" w:rsidRDefault="00B01ED0" w:rsidP="009570F3">
      <w:pPr>
        <w:rPr>
          <w:rFonts w:eastAsia="Times New Roman" w:cstheme="minorHAnsi"/>
          <w:b/>
          <w:color w:val="808080" w:themeColor="background1" w:themeShade="80"/>
          <w:szCs w:val="20"/>
        </w:rPr>
      </w:pPr>
      <w:r w:rsidRPr="009570F3">
        <w:rPr>
          <w:rFonts w:eastAsia="Times New Roman" w:cstheme="minorHAnsi"/>
          <w:b/>
          <w:color w:val="808080" w:themeColor="background1" w:themeShade="80"/>
          <w:szCs w:val="20"/>
        </w:rPr>
        <w:t>Vorgangsweise im Normalfall</w:t>
      </w:r>
    </w:p>
    <w:p w:rsidR="00B01ED0" w:rsidRPr="009570F3" w:rsidRDefault="00B01ED0" w:rsidP="009570F3">
      <w:pPr>
        <w:pStyle w:val="Listenabsatz"/>
        <w:numPr>
          <w:ilvl w:val="0"/>
          <w:numId w:val="21"/>
        </w:numPr>
        <w:rPr>
          <w:b/>
          <w:bCs/>
        </w:rPr>
      </w:pPr>
      <w:r w:rsidRPr="005C4B5B">
        <w:t>Stations</w:t>
      </w:r>
      <w:r w:rsidR="001F058B">
        <w:t>leitung</w:t>
      </w:r>
      <w:r w:rsidRPr="005C4B5B">
        <w:t xml:space="preserve"> oder beauftragtes Mitglied des Stationspersonals bietet Gespräche an, versucht Zeit zu gewinnen (Visite abwarten etc.) und eventuell im Stationsbereich liegende Ursachen für den Therapieabbruc</w:t>
      </w:r>
      <w:r>
        <w:t>h zu erkennen</w:t>
      </w:r>
    </w:p>
    <w:p w:rsidR="00B01ED0" w:rsidRPr="009570F3" w:rsidRDefault="00B01ED0" w:rsidP="009570F3">
      <w:pPr>
        <w:pStyle w:val="Listenabsatz"/>
        <w:numPr>
          <w:ilvl w:val="0"/>
          <w:numId w:val="21"/>
        </w:numPr>
        <w:rPr>
          <w:b/>
          <w:bCs/>
        </w:rPr>
      </w:pPr>
      <w:r w:rsidRPr="005C4B5B">
        <w:t>Ärzte beurteilen klinischen Zustand und Geschäftsfähigkeit der Patienten, überprüfen UbG-Kriterien und klären Patienten anhand des Aufklärung</w:t>
      </w:r>
      <w:r w:rsidR="004B41DA">
        <w:t>s-</w:t>
      </w:r>
      <w:r w:rsidRPr="005C4B5B">
        <w:t xml:space="preserve"> Formulars über mögliche Risiken und Folgen des g</w:t>
      </w:r>
      <w:r>
        <w:t>eplanten Therapie Abbruchs auf.</w:t>
      </w:r>
    </w:p>
    <w:p w:rsidR="00B01ED0" w:rsidRPr="009570F3" w:rsidRDefault="00B01ED0" w:rsidP="009570F3">
      <w:pPr>
        <w:pStyle w:val="Listenabsatz"/>
        <w:numPr>
          <w:ilvl w:val="0"/>
          <w:numId w:val="21"/>
        </w:numPr>
        <w:rPr>
          <w:b/>
          <w:bCs/>
        </w:rPr>
      </w:pPr>
      <w:r w:rsidRPr="005C4B5B">
        <w:t xml:space="preserve"> Patienten unterzeichnet Aufklärung</w:t>
      </w:r>
      <w:r w:rsidR="004B41DA">
        <w:t>s-</w:t>
      </w:r>
      <w:r w:rsidRPr="005C4B5B">
        <w:t>Formular Therapieabbruch</w:t>
      </w:r>
    </w:p>
    <w:p w:rsidR="004B41DA" w:rsidRDefault="004B41DA">
      <w:pPr>
        <w:rPr>
          <w:rFonts w:asciiTheme="majorHAnsi" w:eastAsiaTheme="majorEastAsia" w:hAnsiTheme="majorHAnsi" w:cstheme="majorBidi"/>
          <w:b/>
          <w:bCs/>
          <w:sz w:val="26"/>
          <w:szCs w:val="26"/>
          <w:lang w:eastAsia="en-US"/>
        </w:rPr>
      </w:pPr>
      <w:r>
        <w:br w:type="page"/>
      </w:r>
    </w:p>
    <w:p w:rsidR="00B01ED0" w:rsidRPr="005C4B5B" w:rsidRDefault="00B01ED0" w:rsidP="009570F3">
      <w:pPr>
        <w:pStyle w:val="berschrift2"/>
      </w:pPr>
      <w:proofErr w:type="spellStart"/>
      <w:r w:rsidRPr="005C4B5B">
        <w:lastRenderedPageBreak/>
        <w:t>Patient</w:t>
      </w:r>
      <w:r w:rsidR="004B41DA">
        <w:t>In</w:t>
      </w:r>
      <w:proofErr w:type="spellEnd"/>
      <w:r w:rsidRPr="005C4B5B">
        <w:t xml:space="preserve"> verweigert Gespräch</w:t>
      </w:r>
      <w:r w:rsidR="004B41DA">
        <w:t>,</w:t>
      </w:r>
      <w:r w:rsidRPr="005C4B5B">
        <w:t xml:space="preserve"> will nicht auf Arzt warten</w:t>
      </w:r>
    </w:p>
    <w:p w:rsidR="00B01ED0" w:rsidRPr="009570F3" w:rsidRDefault="00B01ED0" w:rsidP="009570F3">
      <w:pPr>
        <w:rPr>
          <w:rFonts w:eastAsia="Times New Roman" w:cstheme="minorHAnsi"/>
          <w:b/>
          <w:color w:val="808080" w:themeColor="background1" w:themeShade="80"/>
          <w:szCs w:val="20"/>
        </w:rPr>
      </w:pPr>
      <w:r w:rsidRPr="009570F3">
        <w:rPr>
          <w:rFonts w:eastAsia="Times New Roman" w:cstheme="minorHAnsi"/>
          <w:b/>
          <w:color w:val="808080" w:themeColor="background1" w:themeShade="80"/>
          <w:szCs w:val="20"/>
        </w:rPr>
        <w:t>Vorgangsweise im Notfall</w:t>
      </w:r>
    </w:p>
    <w:p w:rsidR="00B01ED0" w:rsidRPr="005C4B5B" w:rsidRDefault="00B01ED0" w:rsidP="009570F3">
      <w:pPr>
        <w:rPr>
          <w:rFonts w:eastAsia="Times New Roman" w:cstheme="minorHAnsi"/>
          <w:bCs/>
          <w:color w:val="808080" w:themeColor="background1" w:themeShade="80"/>
          <w:szCs w:val="20"/>
        </w:rPr>
      </w:pPr>
      <w:r w:rsidRPr="005C4B5B">
        <w:rPr>
          <w:rFonts w:eastAsia="Times New Roman" w:cstheme="minorHAnsi"/>
          <w:szCs w:val="20"/>
        </w:rPr>
        <w:t>Beurteilung der Situation</w:t>
      </w:r>
      <w:r>
        <w:rPr>
          <w:rFonts w:eastAsia="Times New Roman" w:cstheme="minorHAnsi"/>
          <w:color w:val="808080" w:themeColor="background1" w:themeShade="80"/>
          <w:szCs w:val="20"/>
        </w:rPr>
        <w:br/>
      </w:r>
      <w:r w:rsidRPr="005C4B5B">
        <w:rPr>
          <w:rFonts w:eastAsia="Times New Roman" w:cstheme="minorHAnsi"/>
          <w:szCs w:val="20"/>
        </w:rPr>
        <w:t>Hinweise für und unmittelbare Selbstgefährdung?</w:t>
      </w:r>
      <w:r>
        <w:rPr>
          <w:rFonts w:eastAsia="Times New Roman" w:cstheme="minorHAnsi"/>
          <w:color w:val="808080" w:themeColor="background1" w:themeShade="80"/>
          <w:szCs w:val="20"/>
        </w:rPr>
        <w:br/>
      </w:r>
      <w:r w:rsidRPr="005C4B5B">
        <w:rPr>
          <w:rFonts w:eastAsia="Times New Roman" w:cstheme="minorHAnsi"/>
          <w:szCs w:val="20"/>
        </w:rPr>
        <w:t>Hinweise für unmittelbare Fremdgefährdung?</w:t>
      </w:r>
    </w:p>
    <w:p w:rsidR="00B01ED0" w:rsidRPr="005C4B5B" w:rsidRDefault="00B01ED0" w:rsidP="009570F3">
      <w:r w:rsidRPr="00750D41">
        <w:rPr>
          <w:sz w:val="40"/>
        </w:rPr>
        <w:sym w:font="Wingdings" w:char="F04D"/>
      </w:r>
      <w:r w:rsidRPr="00750D41">
        <w:rPr>
          <w:sz w:val="40"/>
        </w:rPr>
        <w:t xml:space="preserve"> </w:t>
      </w:r>
      <w:r w:rsidRPr="005C4B5B">
        <w:t xml:space="preserve"> Gefahr im Verzug Selbstgefährdung</w:t>
      </w:r>
    </w:p>
    <w:p w:rsidR="00B01ED0" w:rsidRPr="005C4B5B" w:rsidRDefault="00B01ED0" w:rsidP="009570F3">
      <w:pPr>
        <w:rPr>
          <w:rFonts w:eastAsia="Times New Roman" w:cstheme="minorHAnsi"/>
          <w:bCs/>
          <w:i/>
          <w:color w:val="808080" w:themeColor="background1" w:themeShade="80"/>
          <w:szCs w:val="20"/>
        </w:rPr>
      </w:pPr>
      <w:r w:rsidRPr="005C4B5B">
        <w:rPr>
          <w:rFonts w:eastAsia="Times New Roman" w:cstheme="minorHAnsi"/>
          <w:i/>
          <w:color w:val="808080" w:themeColor="background1" w:themeShade="80"/>
          <w:szCs w:val="20"/>
        </w:rPr>
        <w:t>Hinweise für unmittelbare Gefährdung des</w:t>
      </w:r>
      <w:r>
        <w:rPr>
          <w:rFonts w:eastAsia="Times New Roman" w:cstheme="minorHAnsi"/>
          <w:i/>
          <w:color w:val="808080" w:themeColor="background1" w:themeShade="80"/>
          <w:szCs w:val="20"/>
        </w:rPr>
        <w:t xml:space="preserve"> Patienten (Suizid Ankündigung)</w:t>
      </w:r>
      <w:r>
        <w:rPr>
          <w:rFonts w:eastAsia="Times New Roman" w:cstheme="minorHAnsi"/>
          <w:i/>
          <w:color w:val="808080" w:themeColor="background1" w:themeShade="80"/>
          <w:szCs w:val="20"/>
        </w:rPr>
        <w:br/>
      </w:r>
      <w:r w:rsidRPr="005C4B5B">
        <w:rPr>
          <w:rFonts w:eastAsia="Times New Roman" w:cstheme="minorHAnsi"/>
          <w:szCs w:val="20"/>
        </w:rPr>
        <w:t>1 sofort diensthabenden Arzt verständigen</w:t>
      </w:r>
      <w:r>
        <w:rPr>
          <w:rFonts w:eastAsia="Times New Roman" w:cstheme="minorHAnsi"/>
          <w:i/>
          <w:color w:val="808080" w:themeColor="background1" w:themeShade="80"/>
          <w:szCs w:val="20"/>
        </w:rPr>
        <w:br/>
      </w:r>
      <w:r w:rsidRPr="005C4B5B">
        <w:rPr>
          <w:rFonts w:eastAsia="Times New Roman" w:cstheme="minorHAnsi"/>
          <w:szCs w:val="20"/>
        </w:rPr>
        <w:t>2 Patienten bis zum Eintreffen des Arztes auf der Station ständig beaufsichtigen, durch Gespräch Zeit gewinnen, falls erforderlich Patienten bis zum Eintreffen des Arztes am Verlassen der Station hindern (ins Zimmer gehen, Türen schließen etc.)</w:t>
      </w:r>
      <w:r>
        <w:rPr>
          <w:rFonts w:eastAsia="Times New Roman" w:cstheme="minorHAnsi"/>
          <w:i/>
          <w:color w:val="808080" w:themeColor="background1" w:themeShade="80"/>
          <w:szCs w:val="20"/>
        </w:rPr>
        <w:br/>
      </w:r>
      <w:r w:rsidRPr="005C4B5B">
        <w:rPr>
          <w:rFonts w:eastAsia="Times New Roman" w:cstheme="minorHAnsi"/>
          <w:szCs w:val="20"/>
        </w:rPr>
        <w:t>3 Arzt vom Dienst beurteilt Gefährdung - Facharzt überprüft UbG Kriterien</w:t>
      </w:r>
      <w:r>
        <w:rPr>
          <w:rFonts w:eastAsia="Times New Roman" w:cstheme="minorHAnsi"/>
          <w:i/>
          <w:color w:val="808080" w:themeColor="background1" w:themeShade="80"/>
          <w:szCs w:val="20"/>
        </w:rPr>
        <w:br/>
      </w:r>
      <w:r w:rsidRPr="005C4B5B">
        <w:rPr>
          <w:color w:val="808080" w:themeColor="background1" w:themeShade="80"/>
          <w:sz w:val="40"/>
        </w:rPr>
        <w:sym w:font="Wingdings" w:char="F049"/>
      </w:r>
      <w:r w:rsidRPr="005C4B5B">
        <w:rPr>
          <w:rFonts w:eastAsia="Times New Roman" w:cstheme="minorHAnsi"/>
          <w:color w:val="808080" w:themeColor="background1" w:themeShade="80"/>
          <w:szCs w:val="20"/>
        </w:rPr>
        <w:t>Suizid Ankündigun</w:t>
      </w:r>
      <w:r>
        <w:rPr>
          <w:rFonts w:eastAsia="Times New Roman" w:cstheme="minorHAnsi"/>
          <w:color w:val="808080" w:themeColor="background1" w:themeShade="80"/>
          <w:szCs w:val="20"/>
        </w:rPr>
        <w:t>g ist ein medizinischer Notfall</w:t>
      </w:r>
      <w:r w:rsidRPr="005C4B5B">
        <w:rPr>
          <w:rFonts w:eastAsia="Times New Roman" w:cstheme="minorHAnsi"/>
          <w:color w:val="808080" w:themeColor="background1" w:themeShade="80"/>
          <w:szCs w:val="20"/>
        </w:rPr>
        <w:t>!</w:t>
      </w:r>
    </w:p>
    <w:p w:rsidR="00B01ED0" w:rsidRPr="005C4B5B" w:rsidRDefault="00B01ED0" w:rsidP="009570F3">
      <w:r w:rsidRPr="00750D41">
        <w:rPr>
          <w:sz w:val="40"/>
        </w:rPr>
        <w:sym w:font="Wingdings" w:char="F04D"/>
      </w:r>
      <w:r w:rsidRPr="00750D41">
        <w:rPr>
          <w:sz w:val="40"/>
        </w:rPr>
        <w:t xml:space="preserve"> </w:t>
      </w:r>
      <w:r w:rsidRPr="005C4B5B">
        <w:t>Gefahr im Verzug Fremdgefährdung</w:t>
      </w:r>
    </w:p>
    <w:p w:rsidR="00B01ED0" w:rsidRPr="005C4B5B" w:rsidRDefault="00B01ED0" w:rsidP="009570F3">
      <w:pPr>
        <w:rPr>
          <w:rFonts w:eastAsia="Times New Roman" w:cstheme="minorHAnsi"/>
          <w:bCs/>
          <w:i/>
          <w:color w:val="808080" w:themeColor="background1" w:themeShade="80"/>
          <w:szCs w:val="20"/>
        </w:rPr>
      </w:pPr>
      <w:r w:rsidRPr="005C4B5B">
        <w:rPr>
          <w:rFonts w:eastAsia="Times New Roman" w:cstheme="minorHAnsi"/>
          <w:i/>
          <w:color w:val="808080" w:themeColor="background1" w:themeShade="80"/>
          <w:szCs w:val="20"/>
        </w:rPr>
        <w:t xml:space="preserve">Hinweise für gefährliches Verhalten (verbale </w:t>
      </w:r>
      <w:r>
        <w:rPr>
          <w:rFonts w:eastAsia="Times New Roman" w:cstheme="minorHAnsi"/>
          <w:i/>
          <w:color w:val="808080" w:themeColor="background1" w:themeShade="80"/>
          <w:szCs w:val="20"/>
        </w:rPr>
        <w:t>Drohungen, tätliche Aggression)</w:t>
      </w:r>
      <w:r>
        <w:rPr>
          <w:rFonts w:eastAsia="Times New Roman" w:cstheme="minorHAnsi"/>
          <w:i/>
          <w:color w:val="808080" w:themeColor="background1" w:themeShade="80"/>
          <w:szCs w:val="20"/>
        </w:rPr>
        <w:br/>
      </w:r>
      <w:r w:rsidRPr="005C4B5B">
        <w:rPr>
          <w:rFonts w:eastAsia="Times New Roman" w:cstheme="minorHAnsi"/>
          <w:szCs w:val="20"/>
        </w:rPr>
        <w:t xml:space="preserve">1 sofort </w:t>
      </w:r>
      <w:r w:rsidR="001F058B">
        <w:rPr>
          <w:rFonts w:eastAsia="Times New Roman" w:cstheme="minorHAnsi"/>
          <w:szCs w:val="20"/>
        </w:rPr>
        <w:t>d</w:t>
      </w:r>
      <w:r w:rsidRPr="005C4B5B">
        <w:rPr>
          <w:rFonts w:eastAsia="Times New Roman" w:cstheme="minorHAnsi"/>
          <w:szCs w:val="20"/>
        </w:rPr>
        <w:t>iensthabenden Arzt verständigen</w:t>
      </w:r>
      <w:r>
        <w:rPr>
          <w:rFonts w:eastAsia="Times New Roman" w:cstheme="minorHAnsi"/>
          <w:i/>
          <w:color w:val="808080" w:themeColor="background1" w:themeShade="80"/>
          <w:szCs w:val="20"/>
        </w:rPr>
        <w:br/>
      </w:r>
      <w:r w:rsidRPr="005C4B5B">
        <w:rPr>
          <w:rFonts w:eastAsia="Times New Roman" w:cstheme="minorHAnsi"/>
          <w:szCs w:val="20"/>
        </w:rPr>
        <w:t xml:space="preserve">2 </w:t>
      </w:r>
      <w:proofErr w:type="spellStart"/>
      <w:r w:rsidRPr="005C4B5B">
        <w:rPr>
          <w:rFonts w:eastAsia="Times New Roman" w:cstheme="minorHAnsi"/>
          <w:szCs w:val="20"/>
        </w:rPr>
        <w:t>PatientIn</w:t>
      </w:r>
      <w:proofErr w:type="spellEnd"/>
      <w:r w:rsidRPr="005C4B5B">
        <w:rPr>
          <w:rFonts w:eastAsia="Times New Roman" w:cstheme="minorHAnsi"/>
          <w:szCs w:val="20"/>
        </w:rPr>
        <w:t xml:space="preserve"> bis zum Eintreffen des Arztes auf der Station ständig beaufsichtigen, Zeit gewinnen; kein Widerspruch</w:t>
      </w:r>
      <w:r w:rsidR="001F058B">
        <w:rPr>
          <w:rFonts w:eastAsia="Times New Roman" w:cstheme="minorHAnsi"/>
          <w:szCs w:val="20"/>
        </w:rPr>
        <w:t>,</w:t>
      </w:r>
      <w:r w:rsidRPr="005C4B5B">
        <w:rPr>
          <w:rFonts w:eastAsia="Times New Roman" w:cstheme="minorHAnsi"/>
          <w:szCs w:val="20"/>
        </w:rPr>
        <w:t xml:space="preserve"> keine Diskussion beginnen!</w:t>
      </w:r>
      <w:r>
        <w:rPr>
          <w:rFonts w:eastAsia="Times New Roman" w:cstheme="minorHAnsi"/>
          <w:i/>
          <w:color w:val="808080" w:themeColor="background1" w:themeShade="80"/>
          <w:szCs w:val="20"/>
        </w:rPr>
        <w:br/>
      </w:r>
      <w:r w:rsidRPr="005C4B5B">
        <w:rPr>
          <w:rFonts w:eastAsia="Times New Roman" w:cstheme="minorHAnsi"/>
          <w:szCs w:val="20"/>
        </w:rPr>
        <w:t>3 kein Widerstand falls Patient unter Gewaltandrohung Anwendung Station verlässt</w:t>
      </w:r>
      <w:r>
        <w:rPr>
          <w:rFonts w:eastAsia="Times New Roman" w:cstheme="minorHAnsi"/>
          <w:i/>
          <w:color w:val="808080" w:themeColor="background1" w:themeShade="80"/>
          <w:szCs w:val="20"/>
        </w:rPr>
        <w:br/>
      </w:r>
      <w:r w:rsidRPr="005C4B5B">
        <w:rPr>
          <w:rFonts w:eastAsia="Times New Roman" w:cstheme="minorHAnsi"/>
          <w:szCs w:val="20"/>
        </w:rPr>
        <w:t xml:space="preserve">4 Facharzt entscheidet über Information </w:t>
      </w:r>
      <w:r w:rsidR="001F058B">
        <w:rPr>
          <w:rFonts w:eastAsia="Times New Roman" w:cstheme="minorHAnsi"/>
          <w:szCs w:val="20"/>
        </w:rPr>
        <w:t xml:space="preserve">und/oder </w:t>
      </w:r>
      <w:r w:rsidRPr="005C4B5B">
        <w:rPr>
          <w:rFonts w:eastAsia="Times New Roman" w:cstheme="minorHAnsi"/>
          <w:szCs w:val="20"/>
        </w:rPr>
        <w:t xml:space="preserve">Anforderungen der </w:t>
      </w:r>
      <w:r w:rsidR="001F058B">
        <w:rPr>
          <w:rFonts w:eastAsia="Times New Roman" w:cstheme="minorHAnsi"/>
          <w:szCs w:val="20"/>
        </w:rPr>
        <w:t>Polizei</w:t>
      </w:r>
      <w:r>
        <w:rPr>
          <w:rFonts w:eastAsia="Times New Roman" w:cstheme="minorHAnsi"/>
          <w:i/>
          <w:color w:val="808080" w:themeColor="background1" w:themeShade="80"/>
          <w:szCs w:val="20"/>
        </w:rPr>
        <w:br/>
      </w:r>
      <w:r w:rsidRPr="005C4B5B">
        <w:rPr>
          <w:color w:val="808080" w:themeColor="background1" w:themeShade="80"/>
          <w:sz w:val="40"/>
        </w:rPr>
        <w:sym w:font="Wingdings" w:char="F046"/>
      </w:r>
      <w:r w:rsidRPr="005C4B5B">
        <w:rPr>
          <w:color w:val="808080" w:themeColor="background1" w:themeShade="80"/>
          <w:sz w:val="40"/>
        </w:rPr>
        <w:t xml:space="preserve"> </w:t>
      </w:r>
      <w:r w:rsidRPr="005C4B5B">
        <w:rPr>
          <w:rFonts w:eastAsia="Times New Roman" w:cstheme="minorHAnsi"/>
          <w:color w:val="808080" w:themeColor="background1" w:themeShade="80"/>
          <w:szCs w:val="20"/>
        </w:rPr>
        <w:t xml:space="preserve"> Sicherheit der anderen Patienten und des Personals geht vor! </w:t>
      </w:r>
    </w:p>
    <w:p w:rsidR="004B41DA" w:rsidRDefault="004B41DA" w:rsidP="004B41DA">
      <w:pPr>
        <w:rPr>
          <w:color w:val="808080" w:themeColor="background1" w:themeShade="80"/>
        </w:rPr>
      </w:pPr>
      <w:r w:rsidRPr="005C4B5B">
        <w:rPr>
          <w:sz w:val="36"/>
        </w:rPr>
        <w:sym w:font="Wingdings" w:char="F032"/>
      </w:r>
      <w:r>
        <w:rPr>
          <w:sz w:val="36"/>
        </w:rPr>
        <w:t xml:space="preserve"> </w:t>
      </w:r>
      <w:r w:rsidRPr="005C4B5B">
        <w:t xml:space="preserve">Therapieabbruch </w:t>
      </w:r>
      <w:r>
        <w:t>(liegt auf Stationen auf) sog. Entlassungs-„Revers“</w:t>
      </w:r>
      <w:r>
        <w:br/>
      </w:r>
      <w:r>
        <w:rPr>
          <w:color w:val="808080" w:themeColor="background1" w:themeShade="80"/>
        </w:rPr>
        <w:t>\\</w:t>
      </w:r>
      <w:r w:rsidRPr="009570F3">
        <w:rPr>
          <w:color w:val="808080" w:themeColor="background1" w:themeShade="80"/>
        </w:rPr>
        <w:t>„w</w:t>
      </w:r>
      <w:r>
        <w:rPr>
          <w:color w:val="808080" w:themeColor="background1" w:themeShade="80"/>
        </w:rPr>
        <w:t>egrfsoffice</w:t>
      </w:r>
      <w:r w:rsidRPr="009570F3">
        <w:rPr>
          <w:color w:val="808080" w:themeColor="background1" w:themeShade="80"/>
        </w:rPr>
        <w:t>“\</w:t>
      </w:r>
      <w:r>
        <w:rPr>
          <w:color w:val="808080" w:themeColor="background1" w:themeShade="80"/>
        </w:rPr>
        <w:t>Psychiatrie\</w:t>
      </w:r>
      <w:r w:rsidRPr="009570F3">
        <w:rPr>
          <w:color w:val="808080" w:themeColor="background1" w:themeShade="80"/>
        </w:rPr>
        <w:t>Formulare \Formulare - Pflege\Entlassung u. Ausgang</w:t>
      </w:r>
    </w:p>
    <w:p w:rsidR="004B41DA" w:rsidRDefault="004B41DA" w:rsidP="004B41DA">
      <w:pPr>
        <w:rPr>
          <w:lang w:val="de-DE"/>
        </w:rPr>
      </w:pPr>
    </w:p>
    <w:p w:rsidR="004B41DA" w:rsidRPr="004B41DA" w:rsidRDefault="004B41DA" w:rsidP="004B41DA">
      <w:pPr>
        <w:rPr>
          <w:lang w:val="de-DE"/>
        </w:rPr>
        <w:sectPr w:rsidR="004B41DA" w:rsidRPr="004B41DA" w:rsidSect="008B140E">
          <w:pgSz w:w="8392" w:h="11907" w:code="11"/>
          <w:pgMar w:top="1134" w:right="680" w:bottom="851" w:left="680" w:header="709" w:footer="709" w:gutter="0"/>
          <w:cols w:space="708"/>
          <w:docGrid w:linePitch="360"/>
        </w:sectPr>
      </w:pPr>
    </w:p>
    <w:p w:rsidR="005C4B5B" w:rsidRDefault="005C4B5B" w:rsidP="005C4B5B">
      <w:pPr>
        <w:pStyle w:val="berschrift1"/>
        <w:rPr>
          <w:lang w:val="de-DE"/>
        </w:rPr>
      </w:pPr>
    </w:p>
    <w:sectPr w:rsidR="005C4B5B"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D36"/>
    <w:multiLevelType w:val="hybridMultilevel"/>
    <w:tmpl w:val="6AD27D38"/>
    <w:lvl w:ilvl="0" w:tplc="86026890">
      <w:start w:val="1"/>
      <w:numFmt w:val="bullet"/>
      <w:lvlText w:val="►"/>
      <w:lvlJc w:val="left"/>
      <w:pPr>
        <w:ind w:left="720" w:hanging="360"/>
      </w:pPr>
      <w:rPr>
        <w:rFonts w:ascii="Arial (W1)" w:hAnsi="Arial (W1)" w:hint="default"/>
        <w:color w:val="999999"/>
        <w:u w:color="9999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97781F"/>
    <w:multiLevelType w:val="hybridMultilevel"/>
    <w:tmpl w:val="25C20D16"/>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3D7601"/>
    <w:multiLevelType w:val="hybridMultilevel"/>
    <w:tmpl w:val="A4BAE67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0A1E50F4"/>
    <w:multiLevelType w:val="hybridMultilevel"/>
    <w:tmpl w:val="E07C908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14FE7C93"/>
    <w:multiLevelType w:val="hybridMultilevel"/>
    <w:tmpl w:val="ADF87E2A"/>
    <w:lvl w:ilvl="0" w:tplc="3C645C14">
      <w:start w:val="1"/>
      <w:numFmt w:val="bullet"/>
      <w:lvlText w:val="►"/>
      <w:lvlJc w:val="left"/>
      <w:pPr>
        <w:tabs>
          <w:tab w:val="num" w:pos="360"/>
        </w:tabs>
        <w:ind w:left="360" w:hanging="360"/>
      </w:pPr>
      <w:rPr>
        <w:rFonts w:ascii="Arial (W1)" w:hAnsi="Arial (W1)" w:hint="default"/>
        <w:color w:val="999999"/>
        <w:sz w:val="24"/>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1F8615DD"/>
    <w:multiLevelType w:val="hybridMultilevel"/>
    <w:tmpl w:val="EF0E7478"/>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2E2EB5"/>
    <w:multiLevelType w:val="hybridMultilevel"/>
    <w:tmpl w:val="01E89840"/>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24B32AFF"/>
    <w:multiLevelType w:val="hybridMultilevel"/>
    <w:tmpl w:val="6172AF4C"/>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284219EC"/>
    <w:multiLevelType w:val="hybridMultilevel"/>
    <w:tmpl w:val="5F1071C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2F8B12BB"/>
    <w:multiLevelType w:val="hybridMultilevel"/>
    <w:tmpl w:val="62E2FCB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1">
    <w:nsid w:val="3D081BEA"/>
    <w:multiLevelType w:val="hybridMultilevel"/>
    <w:tmpl w:val="4ADC44F2"/>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3E5579AD"/>
    <w:multiLevelType w:val="hybridMultilevel"/>
    <w:tmpl w:val="8BD033C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50DF3FF7"/>
    <w:multiLevelType w:val="hybridMultilevel"/>
    <w:tmpl w:val="331E5BF0"/>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41E37D5"/>
    <w:multiLevelType w:val="hybridMultilevel"/>
    <w:tmpl w:val="3E221E0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5D7C35BC"/>
    <w:multiLevelType w:val="hybridMultilevel"/>
    <w:tmpl w:val="54D01B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6B7A7156"/>
    <w:multiLevelType w:val="hybridMultilevel"/>
    <w:tmpl w:val="7D22FD9C"/>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EA27F0C"/>
    <w:multiLevelType w:val="hybridMultilevel"/>
    <w:tmpl w:val="9946B692"/>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3C0209"/>
    <w:multiLevelType w:val="hybridMultilevel"/>
    <w:tmpl w:val="721E537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nsid w:val="74460449"/>
    <w:multiLevelType w:val="hybridMultilevel"/>
    <w:tmpl w:val="36F233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0"/>
  </w:num>
  <w:num w:numId="4">
    <w:abstractNumId w:val="2"/>
  </w:num>
  <w:num w:numId="5">
    <w:abstractNumId w:val="9"/>
  </w:num>
  <w:num w:numId="6">
    <w:abstractNumId w:val="18"/>
  </w:num>
  <w:num w:numId="7">
    <w:abstractNumId w:val="13"/>
  </w:num>
  <w:num w:numId="8">
    <w:abstractNumId w:val="6"/>
  </w:num>
  <w:num w:numId="9">
    <w:abstractNumId w:val="16"/>
  </w:num>
  <w:num w:numId="10">
    <w:abstractNumId w:val="8"/>
  </w:num>
  <w:num w:numId="11">
    <w:abstractNumId w:val="12"/>
  </w:num>
  <w:num w:numId="12">
    <w:abstractNumId w:val="3"/>
  </w:num>
  <w:num w:numId="13">
    <w:abstractNumId w:val="5"/>
  </w:num>
  <w:num w:numId="14">
    <w:abstractNumId w:val="19"/>
  </w:num>
  <w:num w:numId="15">
    <w:abstractNumId w:val="0"/>
  </w:num>
  <w:num w:numId="16">
    <w:abstractNumId w:val="1"/>
  </w:num>
  <w:num w:numId="17">
    <w:abstractNumId w:val="17"/>
  </w:num>
  <w:num w:numId="18">
    <w:abstractNumId w:val="7"/>
  </w:num>
  <w:num w:numId="19">
    <w:abstractNumId w:val="11"/>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096DF3"/>
    <w:rsid w:val="001A28ED"/>
    <w:rsid w:val="001E3B3A"/>
    <w:rsid w:val="001F058B"/>
    <w:rsid w:val="002002B8"/>
    <w:rsid w:val="00235555"/>
    <w:rsid w:val="0030311B"/>
    <w:rsid w:val="00382AE1"/>
    <w:rsid w:val="003947E7"/>
    <w:rsid w:val="003E47B8"/>
    <w:rsid w:val="00413587"/>
    <w:rsid w:val="004B41DA"/>
    <w:rsid w:val="004D7B3B"/>
    <w:rsid w:val="005A48B9"/>
    <w:rsid w:val="005C4B5B"/>
    <w:rsid w:val="005E7A05"/>
    <w:rsid w:val="00665934"/>
    <w:rsid w:val="006B00EA"/>
    <w:rsid w:val="006C24E4"/>
    <w:rsid w:val="006F3EE6"/>
    <w:rsid w:val="0077186B"/>
    <w:rsid w:val="008636A9"/>
    <w:rsid w:val="008B140E"/>
    <w:rsid w:val="00905607"/>
    <w:rsid w:val="009570F3"/>
    <w:rsid w:val="009D4F5E"/>
    <w:rsid w:val="00B01ED0"/>
    <w:rsid w:val="00B4008E"/>
    <w:rsid w:val="00B4646E"/>
    <w:rsid w:val="00BF1041"/>
    <w:rsid w:val="00C46BDA"/>
    <w:rsid w:val="00CD5C64"/>
    <w:rsid w:val="00E10917"/>
    <w:rsid w:val="00EA58CC"/>
    <w:rsid w:val="00F24C9C"/>
    <w:rsid w:val="00F734A7"/>
    <w:rsid w:val="00FE38A1"/>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FD6DDF41.dotm</Template>
  <TotalTime>0</TotalTime>
  <Pages>3</Pages>
  <Words>377</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Windhager Elmar, Prim. Dr.</cp:lastModifiedBy>
  <cp:revision>6</cp:revision>
  <dcterms:created xsi:type="dcterms:W3CDTF">2014-03-19T08:19:00Z</dcterms:created>
  <dcterms:modified xsi:type="dcterms:W3CDTF">2018-01-12T09:49:00Z</dcterms:modified>
</cp:coreProperties>
</file>